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C4622D2" w:rsidR="00130241" w:rsidRDefault="00E326C1">
      <w:pPr>
        <w:pBdr>
          <w:top w:val="nil"/>
          <w:left w:val="nil"/>
          <w:bottom w:val="nil"/>
          <w:right w:val="nil"/>
          <w:between w:val="nil"/>
        </w:pBdr>
        <w:shd w:val="clear" w:color="auto" w:fill="FFFFFF"/>
        <w:jc w:val="center"/>
        <w:rPr>
          <w:color w:val="000000"/>
        </w:rPr>
      </w:pPr>
      <w:r>
        <w:rPr>
          <w:b/>
          <w:color w:val="000000"/>
        </w:rPr>
        <w:t xml:space="preserve">Можно ли доверять </w:t>
      </w:r>
      <w:proofErr w:type="spellStart"/>
      <w:r>
        <w:rPr>
          <w:b/>
          <w:color w:val="000000"/>
        </w:rPr>
        <w:t>изодесмическим</w:t>
      </w:r>
      <w:proofErr w:type="spellEnd"/>
      <w:r>
        <w:rPr>
          <w:b/>
          <w:color w:val="000000"/>
        </w:rPr>
        <w:t xml:space="preserve"> реакциям и выводам, сделанным на их основе? </w:t>
      </w:r>
    </w:p>
    <w:p w14:paraId="00000002" w14:textId="5CD12843" w:rsidR="00130241" w:rsidRPr="00581BE0" w:rsidRDefault="00E326C1">
      <w:pPr>
        <w:pBdr>
          <w:top w:val="nil"/>
          <w:left w:val="nil"/>
          <w:bottom w:val="nil"/>
          <w:right w:val="nil"/>
          <w:between w:val="nil"/>
        </w:pBdr>
        <w:shd w:val="clear" w:color="auto" w:fill="FFFFFF"/>
        <w:jc w:val="center"/>
        <w:rPr>
          <w:b/>
          <w:color w:val="000000"/>
        </w:rPr>
      </w:pPr>
      <w:r w:rsidRPr="00581BE0">
        <w:rPr>
          <w:b/>
          <w:i/>
          <w:color w:val="000000"/>
        </w:rPr>
        <w:t>Антаньязов М</w:t>
      </w:r>
      <w:r w:rsidR="00EB1F49" w:rsidRPr="00581BE0">
        <w:rPr>
          <w:b/>
          <w:i/>
          <w:color w:val="000000"/>
        </w:rPr>
        <w:t>.</w:t>
      </w:r>
      <w:r w:rsidRPr="00581BE0">
        <w:rPr>
          <w:b/>
          <w:i/>
          <w:color w:val="000000"/>
        </w:rPr>
        <w:t>Р</w:t>
      </w:r>
      <w:r w:rsidR="00EB1F49" w:rsidRPr="00581BE0">
        <w:rPr>
          <w:b/>
          <w:i/>
          <w:color w:val="000000"/>
        </w:rPr>
        <w:t>.</w:t>
      </w:r>
      <w:r w:rsidR="00EB1F49" w:rsidRPr="00581BE0">
        <w:rPr>
          <w:b/>
          <w:i/>
          <w:color w:val="000000"/>
          <w:vertAlign w:val="superscript"/>
        </w:rPr>
        <w:t>1</w:t>
      </w:r>
      <w:r w:rsidR="008C67E3" w:rsidRPr="00581BE0">
        <w:rPr>
          <w:b/>
          <w:i/>
          <w:color w:val="000000"/>
        </w:rPr>
        <w:t>,</w:t>
      </w:r>
      <w:r w:rsidRPr="00581BE0">
        <w:rPr>
          <w:b/>
          <w:i/>
          <w:color w:val="000000"/>
        </w:rPr>
        <w:t xml:space="preserve"> Мезенцев</w:t>
      </w:r>
      <w:r w:rsidR="00EB1F49" w:rsidRPr="00581BE0">
        <w:rPr>
          <w:b/>
          <w:i/>
          <w:color w:val="000000"/>
        </w:rPr>
        <w:t xml:space="preserve"> </w:t>
      </w:r>
      <w:proofErr w:type="gramStart"/>
      <w:r w:rsidR="00EB1F49" w:rsidRPr="00581BE0">
        <w:rPr>
          <w:b/>
          <w:i/>
          <w:color w:val="000000"/>
        </w:rPr>
        <w:t>И.</w:t>
      </w:r>
      <w:r w:rsidRPr="00581BE0">
        <w:rPr>
          <w:b/>
          <w:i/>
          <w:color w:val="000000"/>
        </w:rPr>
        <w:t>А</w:t>
      </w:r>
      <w:r w:rsidR="00EB1F49" w:rsidRPr="00581BE0">
        <w:rPr>
          <w:b/>
          <w:i/>
          <w:color w:val="000000"/>
        </w:rPr>
        <w:t>.</w:t>
      </w:r>
      <w:proofErr w:type="gramEnd"/>
      <w:r w:rsidR="00EB1F49" w:rsidRPr="00581BE0">
        <w:rPr>
          <w:b/>
          <w:i/>
          <w:color w:val="000000"/>
          <w:vertAlign w:val="superscript"/>
        </w:rPr>
        <w:t>2</w:t>
      </w:r>
      <w:r w:rsidR="00314549" w:rsidRPr="00581BE0">
        <w:rPr>
          <w:b/>
          <w:i/>
          <w:color w:val="000000"/>
          <w:vertAlign w:val="superscript"/>
        </w:rPr>
        <w:t>,3</w:t>
      </w:r>
      <w:r w:rsidR="00314549" w:rsidRPr="00581BE0">
        <w:rPr>
          <w:b/>
          <w:color w:val="000000"/>
        </w:rPr>
        <w:t xml:space="preserve">, </w:t>
      </w:r>
      <w:r w:rsidR="00314549" w:rsidRPr="00581BE0">
        <w:rPr>
          <w:b/>
          <w:i/>
          <w:iCs/>
          <w:color w:val="000000"/>
        </w:rPr>
        <w:t>Медведев М.Г.</w:t>
      </w:r>
      <w:r w:rsidR="00314549" w:rsidRPr="00581BE0">
        <w:rPr>
          <w:b/>
          <w:i/>
          <w:iCs/>
          <w:color w:val="000000"/>
          <w:vertAlign w:val="superscript"/>
        </w:rPr>
        <w:t>3</w:t>
      </w:r>
    </w:p>
    <w:p w14:paraId="00000003" w14:textId="342BA5EC"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F00541">
        <w:rPr>
          <w:i/>
          <w:color w:val="000000"/>
        </w:rPr>
        <w:t>2</w:t>
      </w:r>
      <w:r>
        <w:rPr>
          <w:i/>
          <w:color w:val="000000"/>
        </w:rPr>
        <w:t xml:space="preserve"> курс специалитета</w:t>
      </w:r>
      <w:r w:rsidR="00BF4622">
        <w:rPr>
          <w:i/>
          <w:color w:val="000000"/>
          <w:highlight w:val="yellow"/>
        </w:rPr>
        <w:t xml:space="preserve"> </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 xml:space="preserve">Московский государственный университет имени </w:t>
      </w:r>
      <w:proofErr w:type="gramStart"/>
      <w:r>
        <w:rPr>
          <w:i/>
          <w:color w:val="000000"/>
        </w:rPr>
        <w:t>М.В.</w:t>
      </w:r>
      <w:proofErr w:type="gramEnd"/>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00000007" w14:textId="5B7F3CD4" w:rsidR="00130241" w:rsidRDefault="00EB1F49" w:rsidP="00BF4622">
      <w:pPr>
        <w:pBdr>
          <w:top w:val="nil"/>
          <w:left w:val="nil"/>
          <w:bottom w:val="nil"/>
          <w:right w:val="nil"/>
          <w:between w:val="nil"/>
        </w:pBdr>
        <w:shd w:val="clear" w:color="auto" w:fill="FFFFFF"/>
        <w:jc w:val="center"/>
        <w:rPr>
          <w:i/>
          <w:color w:val="000000"/>
        </w:rPr>
      </w:pPr>
      <w:r>
        <w:rPr>
          <w:i/>
          <w:color w:val="000000"/>
          <w:vertAlign w:val="superscript"/>
        </w:rPr>
        <w:t>2</w:t>
      </w:r>
      <w:r w:rsidR="00E326C1">
        <w:rPr>
          <w:i/>
          <w:color w:val="000000"/>
        </w:rPr>
        <w:t xml:space="preserve">Российский химико-технологический университет имени </w:t>
      </w:r>
      <w:proofErr w:type="gramStart"/>
      <w:r w:rsidR="00E326C1">
        <w:rPr>
          <w:i/>
          <w:color w:val="000000"/>
        </w:rPr>
        <w:t>Д.И.</w:t>
      </w:r>
      <w:proofErr w:type="gramEnd"/>
      <w:r w:rsidR="00E326C1">
        <w:rPr>
          <w:i/>
          <w:color w:val="000000"/>
        </w:rPr>
        <w:t xml:space="preserve"> Менделеева</w:t>
      </w:r>
      <w:r w:rsidR="00581BE0">
        <w:rPr>
          <w:i/>
          <w:color w:val="000000"/>
        </w:rPr>
        <w:t>,</w:t>
      </w:r>
      <w:r w:rsidR="00581BE0">
        <w:rPr>
          <w:i/>
          <w:color w:val="000000"/>
        </w:rPr>
        <w:br/>
        <w:t>Высший химический колледж РАН</w:t>
      </w:r>
      <w:r w:rsidR="00E326C1">
        <w:rPr>
          <w:i/>
          <w:color w:val="000000"/>
        </w:rPr>
        <w:t>, Москва</w:t>
      </w:r>
      <w:r w:rsidR="00BF36F8">
        <w:rPr>
          <w:i/>
          <w:color w:val="000000"/>
        </w:rPr>
        <w:t>, Россия</w:t>
      </w:r>
    </w:p>
    <w:p w14:paraId="0F8EA74D" w14:textId="43132BC4" w:rsidR="00314549" w:rsidRDefault="00E4627B" w:rsidP="00BF4622">
      <w:pPr>
        <w:pBdr>
          <w:top w:val="nil"/>
          <w:left w:val="nil"/>
          <w:bottom w:val="nil"/>
          <w:right w:val="nil"/>
          <w:between w:val="nil"/>
        </w:pBdr>
        <w:shd w:val="clear" w:color="auto" w:fill="FFFFFF"/>
        <w:jc w:val="center"/>
        <w:rPr>
          <w:color w:val="000000"/>
        </w:rPr>
      </w:pPr>
      <w:r>
        <w:rPr>
          <w:i/>
          <w:color w:val="000000"/>
          <w:vertAlign w:val="superscript"/>
        </w:rPr>
        <w:t>3</w:t>
      </w:r>
      <w:r w:rsidR="00314549">
        <w:rPr>
          <w:i/>
          <w:color w:val="000000"/>
        </w:rPr>
        <w:t xml:space="preserve">Институт органической химии имени </w:t>
      </w:r>
      <w:proofErr w:type="gramStart"/>
      <w:r w:rsidR="00314549">
        <w:rPr>
          <w:i/>
          <w:color w:val="000000"/>
        </w:rPr>
        <w:t>Н.Д.</w:t>
      </w:r>
      <w:proofErr w:type="gramEnd"/>
      <w:r w:rsidR="00314549">
        <w:rPr>
          <w:i/>
          <w:color w:val="000000"/>
        </w:rPr>
        <w:t xml:space="preserve"> Зелинского РАН, Москва, Россия</w:t>
      </w:r>
    </w:p>
    <w:p w14:paraId="1ADA4293" w14:textId="4BA35627" w:rsidR="00CD00B1" w:rsidRPr="00314549" w:rsidRDefault="00EB1F49" w:rsidP="00E326C1">
      <w:pPr>
        <w:pBdr>
          <w:top w:val="nil"/>
          <w:left w:val="nil"/>
          <w:bottom w:val="nil"/>
          <w:right w:val="nil"/>
          <w:between w:val="nil"/>
        </w:pBdr>
        <w:shd w:val="clear" w:color="auto" w:fill="FFFFFF"/>
        <w:jc w:val="center"/>
        <w:rPr>
          <w:color w:val="000000"/>
          <w:lang w:val="en-US"/>
        </w:rPr>
      </w:pPr>
      <w:r w:rsidRPr="00E326C1">
        <w:rPr>
          <w:i/>
          <w:color w:val="000000"/>
          <w:lang w:val="en-US"/>
        </w:rPr>
        <w:t>E</w:t>
      </w:r>
      <w:r w:rsidR="003B76D6" w:rsidRPr="00314549">
        <w:rPr>
          <w:i/>
          <w:color w:val="000000"/>
          <w:lang w:val="en-US"/>
        </w:rPr>
        <w:t>-</w:t>
      </w:r>
      <w:r w:rsidRPr="00E326C1">
        <w:rPr>
          <w:i/>
          <w:color w:val="000000"/>
          <w:lang w:val="en-US"/>
        </w:rPr>
        <w:t>mail</w:t>
      </w:r>
      <w:r w:rsidRPr="00314549">
        <w:rPr>
          <w:i/>
          <w:color w:val="000000"/>
          <w:lang w:val="en-US"/>
        </w:rPr>
        <w:t xml:space="preserve">: </w:t>
      </w:r>
      <w:r w:rsidR="00E326C1">
        <w:rPr>
          <w:i/>
          <w:color w:val="000000"/>
          <w:lang w:val="en-US"/>
        </w:rPr>
        <w:t>antanyazovmr</w:t>
      </w:r>
      <w:r w:rsidR="00E326C1" w:rsidRPr="00314549">
        <w:rPr>
          <w:i/>
          <w:color w:val="000000"/>
          <w:lang w:val="en-US"/>
        </w:rPr>
        <w:t>@</w:t>
      </w:r>
      <w:r w:rsidR="00E326C1">
        <w:rPr>
          <w:i/>
          <w:color w:val="000000"/>
          <w:lang w:val="en-US"/>
        </w:rPr>
        <w:t>my</w:t>
      </w:r>
      <w:r w:rsidR="00E326C1" w:rsidRPr="00314549">
        <w:rPr>
          <w:i/>
          <w:color w:val="000000"/>
          <w:lang w:val="en-US"/>
        </w:rPr>
        <w:t>.</w:t>
      </w:r>
      <w:r w:rsidR="00E326C1">
        <w:rPr>
          <w:i/>
          <w:color w:val="000000"/>
          <w:lang w:val="en-US"/>
        </w:rPr>
        <w:t>msu</w:t>
      </w:r>
      <w:r w:rsidR="00E326C1" w:rsidRPr="00314549">
        <w:rPr>
          <w:i/>
          <w:color w:val="000000"/>
          <w:lang w:val="en-US"/>
        </w:rPr>
        <w:t>.</w:t>
      </w:r>
      <w:r w:rsidR="00E326C1">
        <w:rPr>
          <w:i/>
          <w:color w:val="000000"/>
          <w:lang w:val="en-US"/>
        </w:rPr>
        <w:t>ru</w:t>
      </w:r>
    </w:p>
    <w:p w14:paraId="20EC0BB7" w14:textId="25E85C13" w:rsidR="003C61ED" w:rsidRDefault="003C61ED" w:rsidP="003C61ED">
      <w:pPr>
        <w:pBdr>
          <w:top w:val="nil"/>
          <w:left w:val="nil"/>
          <w:bottom w:val="nil"/>
          <w:right w:val="nil"/>
          <w:between w:val="nil"/>
        </w:pBdr>
        <w:shd w:val="clear" w:color="auto" w:fill="FFFFFF"/>
        <w:ind w:firstLine="397"/>
        <w:jc w:val="both"/>
        <w:rPr>
          <w:color w:val="000000"/>
        </w:rPr>
      </w:pPr>
      <w:r w:rsidRPr="003C61ED">
        <w:rPr>
          <w:noProof/>
          <w:color w:val="000000"/>
        </w:rPr>
        <w:drawing>
          <wp:anchor distT="0" distB="0" distL="114300" distR="114300" simplePos="0" relativeHeight="251658240" behindDoc="0" locked="0" layoutInCell="1" allowOverlap="1" wp14:anchorId="28DFEF09" wp14:editId="1CB08783">
            <wp:simplePos x="0" y="0"/>
            <wp:positionH relativeFrom="column">
              <wp:posOffset>1002665</wp:posOffset>
            </wp:positionH>
            <wp:positionV relativeFrom="paragraph">
              <wp:posOffset>1927860</wp:posOffset>
            </wp:positionV>
            <wp:extent cx="3841750" cy="2146300"/>
            <wp:effectExtent l="0" t="0" r="6350" b="6350"/>
            <wp:wrapTopAndBottom/>
            <wp:docPr id="195089029" name="Picture 1" descr="A diagram of a diagram of a chemical rea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9029" name="Picture 1" descr="A diagram of a diagram of a chemical reaction&#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41750" cy="2146300"/>
                    </a:xfrm>
                    <a:prstGeom prst="rect">
                      <a:avLst/>
                    </a:prstGeom>
                  </pic:spPr>
                </pic:pic>
              </a:graphicData>
            </a:graphic>
            <wp14:sizeRelH relativeFrom="page">
              <wp14:pctWidth>0</wp14:pctWidth>
            </wp14:sizeRelH>
            <wp14:sizeRelV relativeFrom="page">
              <wp14:pctHeight>0</wp14:pctHeight>
            </wp14:sizeRelV>
          </wp:anchor>
        </w:drawing>
      </w:r>
      <w:r w:rsidR="00E326C1" w:rsidRPr="00E326C1">
        <w:rPr>
          <w:color w:val="000000"/>
        </w:rPr>
        <w:t>Изодесмические реакции – давно известный тип реакций, широко используемый для количественной оценки различных показателей. Активное использование этого подхода связано с компенсацией ошибок, так как в изодесмических реакциях количество связей каждого типа сохраняется</w:t>
      </w:r>
      <w:r w:rsidR="00314549">
        <w:rPr>
          <w:color w:val="000000"/>
        </w:rPr>
        <w:t xml:space="preserve"> </w:t>
      </w:r>
      <w:r w:rsidR="007D1CF4">
        <w:rPr>
          <w:color w:val="000000"/>
        </w:rPr>
        <w:fldChar w:fldCharType="begin"/>
      </w:r>
      <w:r w:rsidR="00930405">
        <w:rPr>
          <w:color w:val="000000"/>
        </w:rPr>
        <w:instrText xml:space="preserve"> ADDIN ZOTERO_ITEM CSL_CITATION {"citationID":"A9ztWm6U","properties":{"formattedCitation":"[4]","plainCitation":"[4]","noteIndex":0},"citationItems":[{"id":10,"uris":["http://zotero.org/users/10149130/items/YJ6MVTUP"],"itemData":{"id":10,"type":"article-journal","container-title":"Journal of Chemical Education","DOI":"10.1021/ed074p201","ISSN":"0021-9584, 1938-1328","issue":"2","journalAbbreviation":"J. Chem. Educ.","language":"en","page":"201","source":"DOI.org (Crossref)","title":"What are Isodesmic Reactions?","volume":"74","author":[{"family":"Ponomarev","given":"D. A."},{"family":"Takhistov","given":"V. V."}],"issued":{"date-parts":[["1997",2]]}}}],"schema":"https://github.com/citation-style-language/schema/raw/master/csl-citation.json"} </w:instrText>
      </w:r>
      <w:r w:rsidR="007D1CF4">
        <w:rPr>
          <w:color w:val="000000"/>
        </w:rPr>
        <w:fldChar w:fldCharType="separate"/>
      </w:r>
      <w:r w:rsidR="00930405" w:rsidRPr="00930405">
        <w:t>[4]</w:t>
      </w:r>
      <w:r w:rsidR="007D1CF4">
        <w:rPr>
          <w:color w:val="000000"/>
        </w:rPr>
        <w:fldChar w:fldCharType="end"/>
      </w:r>
      <w:r w:rsidR="00314549">
        <w:rPr>
          <w:color w:val="000000"/>
        </w:rPr>
        <w:t>.</w:t>
      </w:r>
      <w:r w:rsidR="00E326C1" w:rsidRPr="00E326C1">
        <w:rPr>
          <w:color w:val="000000"/>
        </w:rPr>
        <w:t xml:space="preserve"> Таким образом, при составлении реакций подбирают максимально похожие продукты и реагенты, чтобы изменение</w:t>
      </w:r>
      <w:r w:rsidR="00581BE0">
        <w:rPr>
          <w:color w:val="000000"/>
        </w:rPr>
        <w:t xml:space="preserve"> в энергии</w:t>
      </w:r>
      <w:r w:rsidR="00E326C1" w:rsidRPr="00E326C1">
        <w:rPr>
          <w:color w:val="000000"/>
        </w:rPr>
        <w:t>, происходящее в ходе реакции, соответствовало</w:t>
      </w:r>
      <w:r w:rsidR="00581BE0">
        <w:rPr>
          <w:color w:val="000000"/>
        </w:rPr>
        <w:t xml:space="preserve"> интересующему эффекту</w:t>
      </w:r>
      <w:r w:rsidR="00E326C1" w:rsidRPr="00E326C1">
        <w:rPr>
          <w:color w:val="000000"/>
        </w:rPr>
        <w:t>.</w:t>
      </w:r>
      <w:r w:rsidR="0059761E">
        <w:rPr>
          <w:color w:val="000000"/>
        </w:rPr>
        <w:t xml:space="preserve"> Выводы, сделанные на основе этого метода, имеют большое значение для разных областей химии</w:t>
      </w:r>
      <w:r w:rsidR="00314549">
        <w:rPr>
          <w:color w:val="000000"/>
        </w:rPr>
        <w:t xml:space="preserve"> </w:t>
      </w:r>
      <w:r w:rsidR="007D1CF4">
        <w:rPr>
          <w:color w:val="000000"/>
        </w:rPr>
        <w:fldChar w:fldCharType="begin"/>
      </w:r>
      <w:r w:rsidR="00930405">
        <w:rPr>
          <w:color w:val="000000"/>
        </w:rPr>
        <w:instrText xml:space="preserve"> ADDIN ZOTERO_ITEM CSL_CITATION {"citationID":"771c4Y0o","properties":{"formattedCitation":"[1\\uc0\\u8211{}3]","plainCitation":"[1–3]","noteIndex":0},"citationItems":[{"id":15,"uris":["http://zotero.org/users/10149130/items/4SVAC59W"],"itemData":{"id":15,"type":"article-journal","abstract":"This personal account summarizes our work on the chemistry of transition-metal-containing metallabenzynes, organometallic compounds derived from formal replacement of a C atom in benzyne by an isolobal transition-metal fragment. Metallabenzynes with osmium and rhenium have been synthesized and well characterized. They have aromatic character on the basis of the criteria of reactivity, geometry, aromatic stabilization energy, and magnetic properties. They can undergo typical reactions of aromatic systems (e.g., electrophilic substitution reactions) and organometallic complexes (e.g., reductive elimination reactions to form carbene complexes).","container-title":"Organometallics","DOI":"10.1021/om400716v","ISSN":"0276-7333, 1520-6041","issue":"23","journalAbbreviation":"Organometallics","language":"en","page":"6852-6866","source":"DOI.org (Crossref)","title":"Our Journey to the Chemistry of Metallabenzynes","volume":"32","author":[{"family":"Jia","given":"Guochen"}],"issued":{"date-parts":[["2013",12,9]]}}},{"id":12,"uris":["http://zotero.org/users/10149130/items/PGNJUSH3"],"itemData":{"id":12,"type":"article-journal","container-title":"Journal of the American Chemical Society","DOI":"10.1021/jacs.8b07612","ISSN":"0002-7863, 1520-5126","issue":"37","journalAbbreviation":"J. Am. Chem. Soc.","language":"en","page":"11829-11835","source":"DOI.org (Crossref)","title":"Building Strain with Large Macrocycles and Using It To Tune the Thermal Half-Lives of Hydrazone Photochromes","volume":"140","author":[{"family":"Li","given":"Quan"},{"family":"Qian","given":"Hai"},{"family":"Shao","given":"Baihao"},{"family":"Hughes","given":"Russell P."},{"family":"Aprahamian","given":"Ivan"}],"issued":{"date-parts":[["2018",9,19]]}}},{"id":34,"uris":["http://zotero.org/users/10149130/items/6JP5S87E"],"itemData":{"id":34,"type":"article-journal","container-title":"Angewandte Chemie","DOI":"10.1002/ange.200603055","ISSN":"0044-8249, 1521-3757","issue":"48","journalAbbreviation":"Angewandte Chemie","language":"en","page":"8383-8386","source":"DOI.org (Crossref)","title":"&lt;i&gt;trans&lt;/i&gt; Influences on Hypervalent Bonding of Aryl &lt;i&gt;λ&lt;/i&gt; &lt;sup&gt;3&lt;/sup&gt; ‐Iodanes: Their Stabilities and Isodesmic Reactions of Benziodoxolones and Benziodazolones","title-short":"&lt;i&gt;trans&lt;/i&gt; Influences on Hypervalent Bonding of Aryl &lt;i&gt;λ&lt;/i&gt; &lt;sup&gt;3&lt;/sup&gt; ‐Iodanes","volume":"118","author":[{"family":"Ochiai","given":"Masahito"},{"family":"Sueda","given":"Takuya"},{"family":"Miyamoto","given":"Kazunori"},{"family":"Kiprof","given":"Paul"},{"family":"Zhdankin","given":"Viktor V."}],"issued":{"date-parts":[["2006",12,11]]}}}],"schema":"https://github.com/citation-style-language/schema/raw/master/csl-citation.json"} </w:instrText>
      </w:r>
      <w:r w:rsidR="007D1CF4">
        <w:rPr>
          <w:color w:val="000000"/>
        </w:rPr>
        <w:fldChar w:fldCharType="separate"/>
      </w:r>
      <w:r w:rsidR="00930405" w:rsidRPr="00930405">
        <w:t>[1–3]</w:t>
      </w:r>
      <w:r w:rsidR="007D1CF4">
        <w:rPr>
          <w:color w:val="000000"/>
        </w:rPr>
        <w:fldChar w:fldCharType="end"/>
      </w:r>
      <w:r w:rsidR="00314549">
        <w:rPr>
          <w:color w:val="000000"/>
        </w:rPr>
        <w:t>.</w:t>
      </w:r>
      <w:r w:rsidR="00E326C1" w:rsidRPr="00E326C1">
        <w:rPr>
          <w:color w:val="000000"/>
        </w:rPr>
        <w:t xml:space="preserve"> </w:t>
      </w:r>
      <w:r w:rsidR="00314549">
        <w:rPr>
          <w:color w:val="000000"/>
        </w:rPr>
        <w:t>В</w:t>
      </w:r>
      <w:r w:rsidR="0059761E">
        <w:rPr>
          <w:color w:val="000000"/>
        </w:rPr>
        <w:t xml:space="preserve"> этой работе</w:t>
      </w:r>
      <w:r w:rsidR="00E326C1" w:rsidRPr="00E326C1">
        <w:rPr>
          <w:color w:val="000000"/>
        </w:rPr>
        <w:t xml:space="preserve"> </w:t>
      </w:r>
      <w:r w:rsidR="00314549">
        <w:rPr>
          <w:color w:val="000000"/>
        </w:rPr>
        <w:t xml:space="preserve">при помощи методов квантовой химии </w:t>
      </w:r>
      <w:r w:rsidR="00E326C1" w:rsidRPr="00E326C1">
        <w:rPr>
          <w:color w:val="000000"/>
        </w:rPr>
        <w:t xml:space="preserve">мы показываем, что недостаточно подбирать продукты с похожим порядком связи, </w:t>
      </w:r>
      <w:r w:rsidR="00314549">
        <w:rPr>
          <w:color w:val="000000"/>
        </w:rPr>
        <w:t xml:space="preserve">а </w:t>
      </w:r>
      <w:r w:rsidR="00E326C1" w:rsidRPr="00E326C1">
        <w:rPr>
          <w:color w:val="000000"/>
        </w:rPr>
        <w:t>необходимо учитывать конформационные предпочтения молекул и внутримолекулярные взаимодействия, иначе получаемые результаты могут быть некорректными</w:t>
      </w:r>
      <w:r w:rsidR="00557DB9">
        <w:rPr>
          <w:color w:val="000000"/>
        </w:rPr>
        <w:t>.</w:t>
      </w:r>
    </w:p>
    <w:p w14:paraId="4D0A77CD" w14:textId="5573E964" w:rsidR="008A2EB2" w:rsidRPr="00E326C1" w:rsidRDefault="003C61ED" w:rsidP="003C61ED">
      <w:pPr>
        <w:pBdr>
          <w:top w:val="nil"/>
          <w:left w:val="nil"/>
          <w:bottom w:val="nil"/>
          <w:right w:val="nil"/>
          <w:between w:val="nil"/>
        </w:pBdr>
        <w:shd w:val="clear" w:color="auto" w:fill="FFFFFF"/>
        <w:jc w:val="center"/>
        <w:rPr>
          <w:color w:val="000000"/>
        </w:rPr>
      </w:pPr>
      <w:r>
        <w:rPr>
          <w:color w:val="000000"/>
        </w:rPr>
        <w:t>Рис. 1. Области, эффекты и величины, для количественного определения которых используются изодесмические реакции</w:t>
      </w:r>
    </w:p>
    <w:p w14:paraId="0000000E" w14:textId="34AAEF71" w:rsidR="00130241" w:rsidRPr="007D1CF4" w:rsidRDefault="009C4557">
      <w:pPr>
        <w:pBdr>
          <w:top w:val="nil"/>
          <w:left w:val="nil"/>
          <w:bottom w:val="nil"/>
          <w:right w:val="nil"/>
          <w:between w:val="nil"/>
        </w:pBdr>
        <w:shd w:val="clear" w:color="auto" w:fill="FFFFFF"/>
        <w:jc w:val="center"/>
        <w:rPr>
          <w:color w:val="000000"/>
          <w:lang w:val="en-US"/>
        </w:rPr>
      </w:pPr>
      <w:r w:rsidRPr="009C4557">
        <w:rPr>
          <w:i/>
          <w:iCs/>
          <w:color w:val="000000"/>
        </w:rPr>
        <w:t>Работа была выполнена с использованием оборудования центра коллективного пользования «Комплекс моделирования и обработки данных исследовательских установок мега-класса» НИЦ «Курчатовский институт», http://ckp.nrcki.ru/.</w:t>
      </w:r>
      <w:r w:rsidRPr="009C4557">
        <w:rPr>
          <w:i/>
          <w:iCs/>
          <w:color w:val="000000"/>
        </w:rPr>
        <w:t xml:space="preserve"> </w:t>
      </w:r>
      <w:r w:rsidR="00EB1F49">
        <w:rPr>
          <w:b/>
          <w:color w:val="000000"/>
        </w:rPr>
        <w:t>Литература</w:t>
      </w:r>
    </w:p>
    <w:p w14:paraId="569583A2" w14:textId="77777777" w:rsidR="00930405" w:rsidRPr="00930405" w:rsidRDefault="007D1CF4" w:rsidP="00930405">
      <w:pPr>
        <w:pStyle w:val="Bibliography"/>
        <w:rPr>
          <w:lang w:val="en-US"/>
        </w:rPr>
      </w:pPr>
      <w:r>
        <w:rPr>
          <w:color w:val="000000"/>
          <w:lang w:val="en-US"/>
        </w:rPr>
        <w:fldChar w:fldCharType="begin"/>
      </w:r>
      <w:r>
        <w:rPr>
          <w:color w:val="000000"/>
          <w:lang w:val="en-US"/>
        </w:rPr>
        <w:instrText xml:space="preserve"> ADDIN ZOTERO_BIBL {"uncited":[],"omitted":[],"custom":[]} CSL_BIBLIOGRAPHY </w:instrText>
      </w:r>
      <w:r>
        <w:rPr>
          <w:color w:val="000000"/>
          <w:lang w:val="en-US"/>
        </w:rPr>
        <w:fldChar w:fldCharType="separate"/>
      </w:r>
      <w:r w:rsidR="00930405" w:rsidRPr="00930405">
        <w:rPr>
          <w:lang w:val="en-US"/>
        </w:rPr>
        <w:t>1. Jia G. Our Journey to the Chemistry of Metallabenzynes // Organometallics. 2013. № 23 (32). C. 6852–6866.</w:t>
      </w:r>
    </w:p>
    <w:p w14:paraId="40E7BFEF" w14:textId="77777777" w:rsidR="00930405" w:rsidRPr="00930405" w:rsidRDefault="00930405" w:rsidP="00930405">
      <w:pPr>
        <w:pStyle w:val="Bibliography"/>
        <w:rPr>
          <w:lang w:val="en-US"/>
        </w:rPr>
      </w:pPr>
      <w:r w:rsidRPr="00930405">
        <w:rPr>
          <w:lang w:val="en-US"/>
        </w:rPr>
        <w:t>2. Li Q. [</w:t>
      </w:r>
      <w:r w:rsidRPr="00930405">
        <w:t>и</w:t>
      </w:r>
      <w:r w:rsidRPr="00930405">
        <w:rPr>
          <w:lang w:val="en-US"/>
        </w:rPr>
        <w:t xml:space="preserve"> </w:t>
      </w:r>
      <w:r w:rsidRPr="00930405">
        <w:t>др</w:t>
      </w:r>
      <w:r w:rsidRPr="00930405">
        <w:rPr>
          <w:lang w:val="en-US"/>
        </w:rPr>
        <w:t>.]. Building Strain with Large Macrocycles and Using It To Tune the Thermal Half-Lives of Hydrazone Photochromes // Journal of the American Chemical Society. 2018. № 37 (140). C. 11829–11835.</w:t>
      </w:r>
    </w:p>
    <w:p w14:paraId="15BB04C0" w14:textId="77777777" w:rsidR="00930405" w:rsidRPr="00930405" w:rsidRDefault="00930405" w:rsidP="00930405">
      <w:pPr>
        <w:pStyle w:val="Bibliography"/>
        <w:rPr>
          <w:lang w:val="en-US"/>
        </w:rPr>
      </w:pPr>
      <w:r w:rsidRPr="00930405">
        <w:rPr>
          <w:lang w:val="en-US"/>
        </w:rPr>
        <w:t>3. Ochiai M. [</w:t>
      </w:r>
      <w:r w:rsidRPr="00930405">
        <w:t>и</w:t>
      </w:r>
      <w:r w:rsidRPr="00930405">
        <w:rPr>
          <w:lang w:val="en-US"/>
        </w:rPr>
        <w:t xml:space="preserve"> </w:t>
      </w:r>
      <w:r w:rsidRPr="00930405">
        <w:t>др</w:t>
      </w:r>
      <w:r w:rsidRPr="00930405">
        <w:rPr>
          <w:lang w:val="en-US"/>
        </w:rPr>
        <w:t xml:space="preserve">.]. </w:t>
      </w:r>
      <w:r w:rsidRPr="00930405">
        <w:rPr>
          <w:i/>
          <w:iCs/>
          <w:lang w:val="en-US"/>
        </w:rPr>
        <w:t>trans</w:t>
      </w:r>
      <w:r w:rsidRPr="00930405">
        <w:rPr>
          <w:lang w:val="en-US"/>
        </w:rPr>
        <w:t xml:space="preserve"> Influences on Hypervalent Bonding of Aryl </w:t>
      </w:r>
      <w:r w:rsidRPr="00930405">
        <w:rPr>
          <w:i/>
          <w:iCs/>
        </w:rPr>
        <w:t>λ</w:t>
      </w:r>
      <w:r w:rsidRPr="00930405">
        <w:rPr>
          <w:lang w:val="en-US"/>
        </w:rPr>
        <w:t xml:space="preserve"> </w:t>
      </w:r>
      <w:r w:rsidRPr="00930405">
        <w:rPr>
          <w:vertAlign w:val="superscript"/>
          <w:lang w:val="en-US"/>
        </w:rPr>
        <w:t>3</w:t>
      </w:r>
      <w:r w:rsidRPr="00930405">
        <w:rPr>
          <w:lang w:val="en-US"/>
        </w:rPr>
        <w:t xml:space="preserve"> ‐Iodanes: Their Stabilities and Isodesmic Reactions of Benziodoxolones and Benziodazolones // Angewandte Chemie. 2006. № 48 (118). C. 8383–8386.</w:t>
      </w:r>
    </w:p>
    <w:p w14:paraId="42B1F3D2" w14:textId="77777777" w:rsidR="00930405" w:rsidRPr="00930405" w:rsidRDefault="00930405" w:rsidP="00930405">
      <w:pPr>
        <w:pStyle w:val="Bibliography"/>
      </w:pPr>
      <w:r w:rsidRPr="00930405">
        <w:rPr>
          <w:lang w:val="en-US"/>
        </w:rPr>
        <w:t xml:space="preserve">4. Ponomarev D. A., Takhistov V. V. What are Isodesmic Reactions? // Journal of Chemical Education. </w:t>
      </w:r>
      <w:r w:rsidRPr="00930405">
        <w:t>1997. № 2 (74). C. 201.</w:t>
      </w:r>
    </w:p>
    <w:p w14:paraId="24E4E16E" w14:textId="182607CB" w:rsidR="007D1CF4" w:rsidRPr="00116478" w:rsidRDefault="007D1CF4" w:rsidP="00063966">
      <w:pPr>
        <w:pBdr>
          <w:top w:val="nil"/>
          <w:left w:val="nil"/>
          <w:bottom w:val="nil"/>
          <w:right w:val="nil"/>
          <w:between w:val="nil"/>
        </w:pBdr>
        <w:shd w:val="clear" w:color="auto" w:fill="FFFFFF"/>
        <w:jc w:val="both"/>
        <w:rPr>
          <w:color w:val="000000"/>
          <w:lang w:val="en-US"/>
        </w:rPr>
      </w:pPr>
      <w:r>
        <w:rPr>
          <w:color w:val="000000"/>
          <w:lang w:val="en-US"/>
        </w:rPr>
        <w:lastRenderedPageBreak/>
        <w:fldChar w:fldCharType="end"/>
      </w:r>
    </w:p>
    <w:sectPr w:rsidR="007D1CF4"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0"/>
  </w:num>
  <w:num w:numId="2" w16cid:durableId="2986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307C"/>
    <w:rsid w:val="0031361E"/>
    <w:rsid w:val="00314549"/>
    <w:rsid w:val="00391C38"/>
    <w:rsid w:val="003B76D6"/>
    <w:rsid w:val="003C61ED"/>
    <w:rsid w:val="004A26A3"/>
    <w:rsid w:val="004F0EDF"/>
    <w:rsid w:val="00522BF1"/>
    <w:rsid w:val="00557DB9"/>
    <w:rsid w:val="00581BE0"/>
    <w:rsid w:val="00590166"/>
    <w:rsid w:val="0059761E"/>
    <w:rsid w:val="005D022B"/>
    <w:rsid w:val="005E5BE9"/>
    <w:rsid w:val="0069427D"/>
    <w:rsid w:val="006F7A19"/>
    <w:rsid w:val="007213E1"/>
    <w:rsid w:val="00775389"/>
    <w:rsid w:val="00797838"/>
    <w:rsid w:val="007C36D8"/>
    <w:rsid w:val="007D1CF4"/>
    <w:rsid w:val="007F2744"/>
    <w:rsid w:val="008931BE"/>
    <w:rsid w:val="008A2EB2"/>
    <w:rsid w:val="008C67E3"/>
    <w:rsid w:val="00921D45"/>
    <w:rsid w:val="00930405"/>
    <w:rsid w:val="009A66DB"/>
    <w:rsid w:val="009B2F80"/>
    <w:rsid w:val="009B3300"/>
    <w:rsid w:val="009C4557"/>
    <w:rsid w:val="009F3380"/>
    <w:rsid w:val="00A02163"/>
    <w:rsid w:val="00A314FE"/>
    <w:rsid w:val="00BF36F8"/>
    <w:rsid w:val="00BF4622"/>
    <w:rsid w:val="00CD00B1"/>
    <w:rsid w:val="00D22306"/>
    <w:rsid w:val="00D42542"/>
    <w:rsid w:val="00D8121C"/>
    <w:rsid w:val="00E22189"/>
    <w:rsid w:val="00E326C1"/>
    <w:rsid w:val="00E4627B"/>
    <w:rsid w:val="00E74069"/>
    <w:rsid w:val="00EB1F49"/>
    <w:rsid w:val="00F00541"/>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38"/>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06375"/>
    <w:pPr>
      <w:ind w:left="720"/>
      <w:contextualSpacing/>
    </w:pPr>
  </w:style>
  <w:style w:type="character" w:customStyle="1" w:styleId="ListParagraphChar">
    <w:name w:val="List Paragraph Char"/>
    <w:basedOn w:val="DefaultParagraphFont"/>
    <w:link w:val="ListParagraph"/>
    <w:uiPriority w:val="34"/>
    <w:locked/>
    <w:rsid w:val="004A26A3"/>
  </w:style>
  <w:style w:type="character" w:styleId="PlaceholderText">
    <w:name w:val="Placeholder Text"/>
    <w:basedOn w:val="DefaultParagraphFont"/>
    <w:uiPriority w:val="99"/>
    <w:semiHidden/>
    <w:rsid w:val="00E22189"/>
    <w:rPr>
      <w:color w:val="808080"/>
    </w:rPr>
  </w:style>
  <w:style w:type="paragraph" w:styleId="NoSpacing">
    <w:name w:val="No Spacing"/>
    <w:uiPriority w:val="1"/>
    <w:qFormat/>
    <w:rsid w:val="00FF1903"/>
    <w:rPr>
      <w:rFonts w:cs="Times New Roman"/>
      <w:sz w:val="22"/>
      <w:szCs w:val="22"/>
      <w:lang w:val="en-US" w:eastAsia="en-US" w:bidi="en-US"/>
    </w:rPr>
  </w:style>
  <w:style w:type="character" w:styleId="Hyperlink">
    <w:name w:val="Hyperlink"/>
    <w:basedOn w:val="DefaultParagraphFont"/>
    <w:uiPriority w:val="99"/>
    <w:unhideWhenUsed/>
    <w:rsid w:val="00F865B3"/>
    <w:rPr>
      <w:color w:val="0000FF" w:themeColor="hyperlink"/>
      <w:u w:val="single"/>
    </w:rPr>
  </w:style>
  <w:style w:type="character" w:styleId="UnresolvedMention">
    <w:name w:val="Unresolved Mention"/>
    <w:basedOn w:val="DefaultParagraphFont"/>
    <w:uiPriority w:val="99"/>
    <w:semiHidden/>
    <w:unhideWhenUsed/>
    <w:rsid w:val="00F865B3"/>
    <w:rPr>
      <w:color w:val="605E5C"/>
      <w:shd w:val="clear" w:color="auto" w:fill="E1DFDD"/>
    </w:rPr>
  </w:style>
  <w:style w:type="paragraph" w:styleId="Bibliography">
    <w:name w:val="Bibliography"/>
    <w:basedOn w:val="Normal"/>
    <w:next w:val="Normal"/>
    <w:uiPriority w:val="37"/>
    <w:unhideWhenUsed/>
    <w:rsid w:val="007D1CF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918</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Антаньязов</dc:creator>
  <cp:lastModifiedBy>Михаил Антаньязов</cp:lastModifiedBy>
  <cp:revision>2</cp:revision>
  <dcterms:created xsi:type="dcterms:W3CDTF">2024-02-16T20:33:00Z</dcterms:created>
  <dcterms:modified xsi:type="dcterms:W3CDTF">2024-02-16T20:33:00Z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zotero-version="6.0.30"&gt;&lt;session id="CS1ftqam"/&gt;&lt;style id="http://www.zotero.org/styles/gost-r-7-0-5-2008-numeric-alphabetical" hasBibliography="1" bibliographyStyleHasBeenSet="1"/&gt;&lt;prefs&gt;&lt;pref name="fieldType" value="Field"/&gt;&lt;pref </vt:lpwstr>
  </property>
  <property fmtid="{D5CDD505-2E9C-101B-9397-08002B2CF9AE}" pid="26" name="ZOTERO_PREF_2">
    <vt:lpwstr>name="automaticJournalAbbreviations" value="true"/&gt;&lt;/prefs&gt;&lt;/data&gt;</vt:lpwstr>
  </property>
</Properties>
</file>