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8FC3" w14:textId="2342D0B1" w:rsidR="00FE056F" w:rsidRDefault="00FE0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E056F">
        <w:rPr>
          <w:b/>
          <w:color w:val="000000"/>
        </w:rPr>
        <w:t xml:space="preserve">Грубозернистое моделирование ряда ПАВ типа </w:t>
      </w:r>
      <w:proofErr w:type="spellStart"/>
      <w:r w:rsidRPr="00FE056F">
        <w:rPr>
          <w:b/>
          <w:color w:val="000000"/>
        </w:rPr>
        <w:t>C</w:t>
      </w:r>
      <w:r w:rsidRPr="00572B5B">
        <w:rPr>
          <w:b/>
          <w:color w:val="000000"/>
          <w:vertAlign w:val="subscript"/>
        </w:rPr>
        <w:t>n</w:t>
      </w:r>
      <w:r w:rsidRPr="00FE056F">
        <w:rPr>
          <w:b/>
          <w:color w:val="000000"/>
        </w:rPr>
        <w:t>E</w:t>
      </w:r>
      <w:r w:rsidRPr="00572B5B">
        <w:rPr>
          <w:b/>
          <w:color w:val="000000"/>
          <w:vertAlign w:val="subscript"/>
        </w:rPr>
        <w:t>m</w:t>
      </w:r>
      <w:proofErr w:type="spellEnd"/>
      <w:r w:rsidRPr="00FE056F">
        <w:rPr>
          <w:b/>
          <w:color w:val="000000"/>
        </w:rPr>
        <w:t xml:space="preserve"> в двухфазной трёхкомпонентной системе вода-додекан</w:t>
      </w:r>
    </w:p>
    <w:p w14:paraId="641622E7" w14:textId="280D45C3" w:rsidR="00FE056F" w:rsidRPr="00FE056F" w:rsidRDefault="00FE056F" w:rsidP="00FE0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FE056F">
        <w:rPr>
          <w:b/>
          <w:i/>
          <w:color w:val="000000"/>
        </w:rPr>
        <w:t>Кисслер</w:t>
      </w:r>
      <w:proofErr w:type="spellEnd"/>
      <w:r w:rsidRPr="00FE056F">
        <w:rPr>
          <w:b/>
          <w:i/>
          <w:color w:val="000000"/>
        </w:rPr>
        <w:t xml:space="preserve"> Т.Ю.</w:t>
      </w:r>
      <w:r w:rsidRPr="00FE056F">
        <w:rPr>
          <w:b/>
          <w:i/>
          <w:color w:val="000000"/>
          <w:vertAlign w:val="superscript"/>
        </w:rPr>
        <w:t>1</w:t>
      </w:r>
    </w:p>
    <w:p w14:paraId="1BA7509F" w14:textId="77777777" w:rsidR="00FE056F" w:rsidRPr="00FE056F" w:rsidRDefault="00FE056F" w:rsidP="00FE0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E056F">
        <w:rPr>
          <w:i/>
          <w:color w:val="000000"/>
        </w:rPr>
        <w:t>Студент, 4 курс бакалавриата</w:t>
      </w:r>
    </w:p>
    <w:p w14:paraId="2DD7BD26" w14:textId="6ADB1601" w:rsidR="00FE056F" w:rsidRDefault="00FE056F" w:rsidP="00FE0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Санкт-Петербургский государственный университет</w:t>
      </w:r>
      <w:r w:rsidR="00616F26">
        <w:rPr>
          <w:i/>
          <w:color w:val="000000"/>
        </w:rPr>
        <w:t>,</w:t>
      </w:r>
    </w:p>
    <w:p w14:paraId="507BAA51" w14:textId="3341D66B" w:rsidR="00616F26" w:rsidRPr="00921D45" w:rsidRDefault="00616F26" w:rsidP="00FE0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0CCA86FB" w14:textId="584D2EE5" w:rsidR="00FE056F" w:rsidRPr="00D45ACC" w:rsidRDefault="00FE056F" w:rsidP="00FE05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FE056F">
        <w:rPr>
          <w:i/>
          <w:color w:val="000000"/>
          <w:lang w:val="en-US"/>
        </w:rPr>
        <w:t>E</w:t>
      </w:r>
      <w:r w:rsidRPr="00D45ACC">
        <w:rPr>
          <w:i/>
          <w:color w:val="000000"/>
        </w:rPr>
        <w:t>-</w:t>
      </w:r>
      <w:r w:rsidRPr="00FE056F">
        <w:rPr>
          <w:i/>
          <w:color w:val="000000"/>
          <w:lang w:val="en-US"/>
        </w:rPr>
        <w:t>mail</w:t>
      </w:r>
      <w:r w:rsidRPr="00D45ACC">
        <w:rPr>
          <w:i/>
          <w:color w:val="000000"/>
        </w:rPr>
        <w:t xml:space="preserve">: </w:t>
      </w:r>
      <w:proofErr w:type="spellStart"/>
      <w:r>
        <w:rPr>
          <w:i/>
          <w:color w:val="000000"/>
          <w:lang w:val="en-US"/>
        </w:rPr>
        <w:t>troyanakissler</w:t>
      </w:r>
      <w:proofErr w:type="spellEnd"/>
      <w:r w:rsidRPr="00D45ACC">
        <w:rPr>
          <w:i/>
          <w:color w:val="000000"/>
        </w:rPr>
        <w:t>@</w:t>
      </w:r>
      <w:proofErr w:type="spellStart"/>
      <w:r>
        <w:rPr>
          <w:i/>
          <w:color w:val="000000"/>
          <w:lang w:val="en-US"/>
        </w:rPr>
        <w:t>gmail</w:t>
      </w:r>
      <w:proofErr w:type="spellEnd"/>
      <w:r w:rsidRPr="00D45ACC">
        <w:rPr>
          <w:i/>
          <w:color w:val="000000"/>
        </w:rPr>
        <w:t>.</w:t>
      </w:r>
      <w:r>
        <w:rPr>
          <w:i/>
          <w:color w:val="000000"/>
          <w:lang w:val="en-US"/>
        </w:rPr>
        <w:t>com</w:t>
      </w:r>
    </w:p>
    <w:p w14:paraId="78941412" w14:textId="0BE0A300" w:rsidR="00FE056F" w:rsidRDefault="00FE056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056F">
        <w:rPr>
          <w:color w:val="000000"/>
        </w:rPr>
        <w:t>Возможность предсказания свойств систем, содержащих поверхностно-активные вещества (ПАВ)</w:t>
      </w:r>
      <w:r w:rsidR="00C11967">
        <w:rPr>
          <w:color w:val="000000"/>
        </w:rPr>
        <w:t>,</w:t>
      </w:r>
      <w:r w:rsidRPr="00FE056F">
        <w:rPr>
          <w:color w:val="000000"/>
        </w:rPr>
        <w:t xml:space="preserve"> представляет собой актуальную задачу для многих сфер практической деятельности</w:t>
      </w:r>
      <w:r w:rsidR="008467E2">
        <w:rPr>
          <w:color w:val="000000"/>
        </w:rPr>
        <w:t>. Для изучения микроскопических процессов и прогнозирования свойств</w:t>
      </w:r>
      <w:r w:rsidR="00C52E52">
        <w:rPr>
          <w:color w:val="000000"/>
        </w:rPr>
        <w:t xml:space="preserve"> таких систем</w:t>
      </w:r>
      <w:r w:rsidR="008467E2">
        <w:rPr>
          <w:color w:val="000000"/>
        </w:rPr>
        <w:t xml:space="preserve"> </w:t>
      </w:r>
      <w:r w:rsidR="00373914">
        <w:rPr>
          <w:color w:val="000000"/>
        </w:rPr>
        <w:t>активно применяется</w:t>
      </w:r>
      <w:r w:rsidR="008467E2">
        <w:rPr>
          <w:color w:val="000000"/>
        </w:rPr>
        <w:t xml:space="preserve"> метод молекулярной динамики </w:t>
      </w:r>
      <w:r w:rsidR="008467E2" w:rsidRPr="008467E2">
        <w:rPr>
          <w:color w:val="000000"/>
        </w:rPr>
        <w:t>[1]</w:t>
      </w:r>
      <w:r w:rsidR="008467E2">
        <w:rPr>
          <w:color w:val="000000"/>
        </w:rPr>
        <w:t>. Для</w:t>
      </w:r>
      <w:r w:rsidR="008467E2" w:rsidRPr="008467E2">
        <w:rPr>
          <w:color w:val="000000"/>
        </w:rPr>
        <w:t xml:space="preserve"> уменьшения расчетного времени моделирование проводят с использованием грубозернистых силовых полей, в которых группа атомов описывается как единый силовой центр.</w:t>
      </w:r>
      <w:r w:rsidR="008467E2">
        <w:rPr>
          <w:color w:val="000000"/>
        </w:rPr>
        <w:t xml:space="preserve"> </w:t>
      </w:r>
    </w:p>
    <w:p w14:paraId="5D367B9F" w14:textId="5CA60FCB" w:rsidR="00D45ACC" w:rsidRDefault="007946AD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946AD">
        <w:rPr>
          <w:color w:val="000000"/>
        </w:rPr>
        <w:t>В данной работе были предложены грубозернистые модели для пяти ПАВ типа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C</w:t>
      </w:r>
      <w:r>
        <w:rPr>
          <w:color w:val="000000"/>
          <w:vertAlign w:val="subscript"/>
          <w:lang w:val="en-US"/>
        </w:rPr>
        <w:t>n</w:t>
      </w:r>
      <w:r>
        <w:rPr>
          <w:color w:val="000000"/>
          <w:lang w:val="en-US"/>
        </w:rPr>
        <w:t>E</w:t>
      </w:r>
      <w:r>
        <w:rPr>
          <w:color w:val="000000"/>
          <w:vertAlign w:val="subscript"/>
          <w:lang w:val="en-US"/>
        </w:rPr>
        <w:t>m</w:t>
      </w:r>
      <w:proofErr w:type="spellEnd"/>
      <w:r w:rsidR="00144D16" w:rsidRPr="00144D16">
        <w:rPr>
          <w:color w:val="000000"/>
        </w:rPr>
        <w:t xml:space="preserve"> </w:t>
      </w:r>
      <w:r w:rsidR="00CC361D">
        <w:rPr>
          <w:color w:val="000000"/>
        </w:rPr>
        <w:t>(</w:t>
      </w:r>
      <w:r w:rsidR="00CC361D" w:rsidRPr="00373914">
        <w:rPr>
          <w:color w:val="000000"/>
        </w:rPr>
        <w:t>C</w:t>
      </w:r>
      <w:r w:rsidR="00CC361D" w:rsidRPr="006773F1">
        <w:rPr>
          <w:color w:val="000000"/>
          <w:vertAlign w:val="subscript"/>
        </w:rPr>
        <w:t>4</w:t>
      </w:r>
      <w:r w:rsidR="00CC361D" w:rsidRPr="00373914">
        <w:rPr>
          <w:color w:val="000000"/>
        </w:rPr>
        <w:t>E</w:t>
      </w:r>
      <w:r w:rsidR="00CC361D" w:rsidRPr="006773F1">
        <w:rPr>
          <w:color w:val="000000"/>
          <w:vertAlign w:val="subscript"/>
        </w:rPr>
        <w:t>8</w:t>
      </w:r>
      <w:r w:rsidR="00CC361D" w:rsidRPr="00373914">
        <w:rPr>
          <w:color w:val="000000"/>
        </w:rPr>
        <w:t>, C</w:t>
      </w:r>
      <w:r w:rsidR="00CC361D" w:rsidRPr="006773F1">
        <w:rPr>
          <w:color w:val="000000"/>
          <w:vertAlign w:val="subscript"/>
        </w:rPr>
        <w:t>7</w:t>
      </w:r>
      <w:r w:rsidR="00CC361D" w:rsidRPr="00373914">
        <w:rPr>
          <w:color w:val="000000"/>
        </w:rPr>
        <w:t>E</w:t>
      </w:r>
      <w:r w:rsidR="00CC361D" w:rsidRPr="006773F1">
        <w:rPr>
          <w:color w:val="000000"/>
          <w:vertAlign w:val="subscript"/>
        </w:rPr>
        <w:t>7</w:t>
      </w:r>
      <w:r w:rsidR="00CC361D" w:rsidRPr="00373914">
        <w:rPr>
          <w:color w:val="000000"/>
        </w:rPr>
        <w:t>, C</w:t>
      </w:r>
      <w:r w:rsidR="00CC361D" w:rsidRPr="006773F1">
        <w:rPr>
          <w:color w:val="000000"/>
          <w:vertAlign w:val="subscript"/>
        </w:rPr>
        <w:t>10</w:t>
      </w:r>
      <w:r w:rsidR="00CC361D" w:rsidRPr="00373914">
        <w:rPr>
          <w:color w:val="000000"/>
        </w:rPr>
        <w:t>E</w:t>
      </w:r>
      <w:r w:rsidR="00CC361D" w:rsidRPr="006773F1">
        <w:rPr>
          <w:color w:val="000000"/>
          <w:vertAlign w:val="subscript"/>
        </w:rPr>
        <w:t>6</w:t>
      </w:r>
      <w:r w:rsidR="00CC361D" w:rsidRPr="00373914">
        <w:rPr>
          <w:color w:val="000000"/>
        </w:rPr>
        <w:t>, C</w:t>
      </w:r>
      <w:r w:rsidR="00CC361D" w:rsidRPr="006773F1">
        <w:rPr>
          <w:color w:val="000000"/>
          <w:vertAlign w:val="subscript"/>
        </w:rPr>
        <w:t>13</w:t>
      </w:r>
      <w:r w:rsidR="00CC361D" w:rsidRPr="00373914">
        <w:rPr>
          <w:color w:val="000000"/>
        </w:rPr>
        <w:t>E</w:t>
      </w:r>
      <w:r w:rsidR="00CC361D" w:rsidRPr="006773F1">
        <w:rPr>
          <w:color w:val="000000"/>
          <w:vertAlign w:val="subscript"/>
        </w:rPr>
        <w:t>5</w:t>
      </w:r>
      <w:r w:rsidR="00CC361D" w:rsidRPr="00373914">
        <w:rPr>
          <w:color w:val="000000"/>
        </w:rPr>
        <w:t>, C</w:t>
      </w:r>
      <w:r w:rsidR="00CC361D" w:rsidRPr="006773F1">
        <w:rPr>
          <w:color w:val="000000"/>
          <w:vertAlign w:val="subscript"/>
        </w:rPr>
        <w:t>16</w:t>
      </w:r>
      <w:r w:rsidR="00CC361D" w:rsidRPr="00373914">
        <w:rPr>
          <w:color w:val="000000"/>
        </w:rPr>
        <w:t>E</w:t>
      </w:r>
      <w:r w:rsidR="00CC361D" w:rsidRPr="006773F1">
        <w:rPr>
          <w:color w:val="000000"/>
          <w:vertAlign w:val="subscript"/>
        </w:rPr>
        <w:t>4</w:t>
      </w:r>
      <w:r w:rsidR="00CC361D">
        <w:rPr>
          <w:color w:val="000000"/>
        </w:rPr>
        <w:t xml:space="preserve">) </w:t>
      </w:r>
      <w:r w:rsidR="00D45ACC">
        <w:rPr>
          <w:color w:val="000000"/>
        </w:rPr>
        <w:t xml:space="preserve">в силовом поле </w:t>
      </w:r>
      <w:r w:rsidR="00D45ACC">
        <w:rPr>
          <w:color w:val="000000"/>
          <w:lang w:val="en-US"/>
        </w:rPr>
        <w:t>Martini</w:t>
      </w:r>
      <w:r w:rsidR="00D45ACC" w:rsidRPr="00D45ACC">
        <w:rPr>
          <w:color w:val="000000"/>
        </w:rPr>
        <w:t xml:space="preserve"> 3.0 [</w:t>
      </w:r>
      <w:r w:rsidR="00C11967">
        <w:rPr>
          <w:color w:val="000000"/>
        </w:rPr>
        <w:t>2</w:t>
      </w:r>
      <w:r w:rsidR="00D45ACC" w:rsidRPr="00D45ACC">
        <w:rPr>
          <w:color w:val="000000"/>
        </w:rPr>
        <w:t>]</w:t>
      </w:r>
      <w:r w:rsidR="009C6385">
        <w:rPr>
          <w:color w:val="000000"/>
        </w:rPr>
        <w:t xml:space="preserve"> </w:t>
      </w:r>
      <w:r w:rsidR="00CC361D">
        <w:rPr>
          <w:color w:val="000000"/>
        </w:rPr>
        <w:t xml:space="preserve">и </w:t>
      </w:r>
      <w:r w:rsidR="00D45ACC">
        <w:rPr>
          <w:color w:val="000000"/>
        </w:rPr>
        <w:t>разработана</w:t>
      </w:r>
      <w:r w:rsidR="00CC361D">
        <w:rPr>
          <w:color w:val="000000"/>
        </w:rPr>
        <w:t xml:space="preserve"> методика моделирования </w:t>
      </w:r>
      <w:r w:rsidR="00D45ACC">
        <w:rPr>
          <w:color w:val="000000"/>
        </w:rPr>
        <w:t xml:space="preserve">систем вода-додекан-ПАВ </w:t>
      </w:r>
      <w:r w:rsidR="00CC361D">
        <w:rPr>
          <w:color w:val="000000"/>
        </w:rPr>
        <w:t xml:space="preserve">для </w:t>
      </w:r>
      <w:r w:rsidR="00D95197">
        <w:rPr>
          <w:color w:val="000000"/>
        </w:rPr>
        <w:t xml:space="preserve">последующего </w:t>
      </w:r>
      <w:r w:rsidR="00CC361D">
        <w:rPr>
          <w:color w:val="000000"/>
        </w:rPr>
        <w:t>построения изотерм</w:t>
      </w:r>
      <w:r w:rsidR="00D45ACC">
        <w:rPr>
          <w:color w:val="000000"/>
        </w:rPr>
        <w:t xml:space="preserve"> </w:t>
      </w:r>
      <w:r w:rsidR="00CC361D">
        <w:rPr>
          <w:color w:val="000000"/>
        </w:rPr>
        <w:t>адсорбции.</w:t>
      </w:r>
      <w:r w:rsidR="00D45ACC" w:rsidRPr="00D45ACC">
        <w:rPr>
          <w:color w:val="000000"/>
        </w:rPr>
        <w:t xml:space="preserve"> </w:t>
      </w:r>
      <w:r w:rsidR="00D95197">
        <w:rPr>
          <w:color w:val="000000"/>
        </w:rPr>
        <w:t>Для всех исследуемых ПАВ был</w:t>
      </w:r>
      <w:r w:rsidR="006021C5">
        <w:rPr>
          <w:color w:val="000000"/>
        </w:rPr>
        <w:t>и получены значения межфазного натяжения в диапазоне</w:t>
      </w:r>
      <w:r w:rsidR="00500FBC">
        <w:rPr>
          <w:color w:val="000000"/>
        </w:rPr>
        <w:t xml:space="preserve"> </w:t>
      </w:r>
      <w:r w:rsidR="00D45ACC">
        <w:rPr>
          <w:color w:val="000000"/>
        </w:rPr>
        <w:t>задаваем</w:t>
      </w:r>
      <w:r w:rsidR="000E12B4">
        <w:rPr>
          <w:color w:val="000000"/>
        </w:rPr>
        <w:t>ой</w:t>
      </w:r>
      <w:r w:rsidR="00D45ACC">
        <w:rPr>
          <w:color w:val="000000"/>
        </w:rPr>
        <w:t xml:space="preserve"> адсорбции от 0 до 4.0 нм</w:t>
      </w:r>
      <w:r w:rsidR="00D45ACC">
        <w:rPr>
          <w:color w:val="000000"/>
          <w:vertAlign w:val="superscript"/>
        </w:rPr>
        <w:t>-2</w:t>
      </w:r>
      <w:r w:rsidR="006021C5">
        <w:rPr>
          <w:color w:val="000000"/>
        </w:rPr>
        <w:t xml:space="preserve"> (рис. 1а)</w:t>
      </w:r>
      <w:r w:rsidR="00D45ACC">
        <w:rPr>
          <w:color w:val="000000"/>
        </w:rPr>
        <w:t>.</w:t>
      </w:r>
      <w:r w:rsidR="00373914">
        <w:rPr>
          <w:color w:val="000000"/>
        </w:rPr>
        <w:t xml:space="preserve"> </w:t>
      </w:r>
    </w:p>
    <w:p w14:paraId="5EFD6EF0" w14:textId="1057D00C" w:rsidR="008467E2" w:rsidRPr="00D43162" w:rsidRDefault="00C11967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Было показано, что в процессе моделирования таких систем наблюдается ряд явлений, приводящих к затруднению построения изотермы адсорбции: </w:t>
      </w:r>
      <w:r w:rsidR="002978CF">
        <w:rPr>
          <w:color w:val="000000"/>
        </w:rPr>
        <w:t>переход</w:t>
      </w:r>
      <w:r w:rsidR="00373914">
        <w:rPr>
          <w:color w:val="000000"/>
        </w:rPr>
        <w:t xml:space="preserve"> молекул ПАВ в объемные фазы, искривление</w:t>
      </w:r>
      <w:r w:rsidR="00CC361D">
        <w:rPr>
          <w:color w:val="000000"/>
        </w:rPr>
        <w:t xml:space="preserve"> поверхности</w:t>
      </w:r>
      <w:r w:rsidR="00373914">
        <w:rPr>
          <w:color w:val="000000"/>
        </w:rPr>
        <w:t xml:space="preserve"> межфазной границы, а также образование </w:t>
      </w:r>
      <w:proofErr w:type="spellStart"/>
      <w:r w:rsidR="00373914">
        <w:rPr>
          <w:color w:val="000000"/>
        </w:rPr>
        <w:t>мицеллярных</w:t>
      </w:r>
      <w:proofErr w:type="spellEnd"/>
      <w:r w:rsidR="00373914">
        <w:rPr>
          <w:color w:val="000000"/>
        </w:rPr>
        <w:t xml:space="preserve"> агрегатов</w:t>
      </w:r>
      <w:r>
        <w:rPr>
          <w:color w:val="000000"/>
        </w:rPr>
        <w:t xml:space="preserve"> (рис. </w:t>
      </w:r>
      <w:r w:rsidR="006021C5">
        <w:rPr>
          <w:color w:val="000000"/>
        </w:rPr>
        <w:t>1б</w:t>
      </w:r>
      <w:r>
        <w:rPr>
          <w:color w:val="000000"/>
        </w:rPr>
        <w:t>)</w:t>
      </w:r>
      <w:r w:rsidR="00CC361D">
        <w:rPr>
          <w:color w:val="000000"/>
        </w:rPr>
        <w:t xml:space="preserve">. </w:t>
      </w:r>
      <w:r w:rsidR="00B73EBD">
        <w:rPr>
          <w:color w:val="000000"/>
        </w:rPr>
        <w:t>Распределение в системе и агрегация молекул ПАВ зависят от соотношения</w:t>
      </w:r>
      <w:r w:rsidR="007802B2">
        <w:rPr>
          <w:color w:val="000000"/>
        </w:rPr>
        <w:t xml:space="preserve"> количества</w:t>
      </w:r>
      <w:r w:rsidR="00B73EBD">
        <w:rPr>
          <w:color w:val="000000"/>
        </w:rPr>
        <w:t xml:space="preserve"> алкильн</w:t>
      </w:r>
      <w:r w:rsidR="007802B2">
        <w:rPr>
          <w:color w:val="000000"/>
        </w:rPr>
        <w:t>ых</w:t>
      </w:r>
      <w:r w:rsidR="00B73EBD">
        <w:rPr>
          <w:color w:val="000000"/>
        </w:rPr>
        <w:t xml:space="preserve"> и </w:t>
      </w:r>
      <w:proofErr w:type="spellStart"/>
      <w:r w:rsidR="00B73EBD">
        <w:rPr>
          <w:color w:val="000000"/>
        </w:rPr>
        <w:t>этиленоксидн</w:t>
      </w:r>
      <w:r w:rsidR="007802B2">
        <w:rPr>
          <w:color w:val="000000"/>
        </w:rPr>
        <w:t>ых</w:t>
      </w:r>
      <w:proofErr w:type="spellEnd"/>
      <w:r w:rsidR="00B73EBD">
        <w:rPr>
          <w:color w:val="000000"/>
        </w:rPr>
        <w:t xml:space="preserve"> </w:t>
      </w:r>
      <w:r w:rsidR="007802B2">
        <w:rPr>
          <w:color w:val="000000"/>
        </w:rPr>
        <w:t>групп в структуре.</w:t>
      </w:r>
    </w:p>
    <w:p w14:paraId="706F1A89" w14:textId="4D1740A8" w:rsidR="00D95197" w:rsidRDefault="00AE5DE7" w:rsidP="0050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01849DF" wp14:editId="7FBE5E10">
            <wp:extent cx="5831840" cy="3051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8E2B" w14:textId="78C7226C" w:rsidR="00D95197" w:rsidRPr="006021C5" w:rsidRDefault="00D95197" w:rsidP="00500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E12B4">
        <w:rPr>
          <w:color w:val="000000"/>
        </w:rPr>
        <w:t>Ри</w:t>
      </w:r>
      <w:r w:rsidR="00500FBC">
        <w:rPr>
          <w:color w:val="000000"/>
        </w:rPr>
        <w:t>с.</w:t>
      </w:r>
      <w:r w:rsidRPr="000E12B4">
        <w:rPr>
          <w:color w:val="000000"/>
        </w:rPr>
        <w:t xml:space="preserve"> 1. </w:t>
      </w:r>
      <w:r w:rsidR="006021C5">
        <w:rPr>
          <w:color w:val="000000"/>
        </w:rPr>
        <w:t>а) полученные значения межфазного натяжения для моделируемых систем</w:t>
      </w:r>
      <w:r w:rsidR="006021C5" w:rsidRPr="006021C5">
        <w:rPr>
          <w:color w:val="000000"/>
        </w:rPr>
        <w:t xml:space="preserve">; </w:t>
      </w:r>
      <w:r w:rsidR="006021C5">
        <w:rPr>
          <w:color w:val="000000"/>
        </w:rPr>
        <w:t>б)</w:t>
      </w:r>
      <w:r w:rsidR="006021C5" w:rsidRPr="006021C5">
        <w:rPr>
          <w:color w:val="000000"/>
        </w:rPr>
        <w:t xml:space="preserve"> </w:t>
      </w:r>
      <w:r w:rsidR="006021C5">
        <w:rPr>
          <w:color w:val="000000"/>
        </w:rPr>
        <w:t>вид системы вода-додекан-</w:t>
      </w:r>
      <w:r w:rsidR="006021C5">
        <w:rPr>
          <w:color w:val="000000"/>
          <w:lang w:val="en-US"/>
        </w:rPr>
        <w:t>C</w:t>
      </w:r>
      <w:r w:rsidR="006021C5" w:rsidRPr="00572B5B">
        <w:rPr>
          <w:color w:val="000000"/>
          <w:vertAlign w:val="subscript"/>
        </w:rPr>
        <w:t>13</w:t>
      </w:r>
      <w:r w:rsidR="006021C5">
        <w:rPr>
          <w:color w:val="000000"/>
          <w:lang w:val="en-US"/>
        </w:rPr>
        <w:t>E</w:t>
      </w:r>
      <w:r w:rsidR="006021C5" w:rsidRPr="00572B5B">
        <w:rPr>
          <w:color w:val="000000"/>
          <w:vertAlign w:val="subscript"/>
        </w:rPr>
        <w:t>5</w:t>
      </w:r>
      <w:r w:rsidR="006021C5" w:rsidRPr="000E12B4">
        <w:rPr>
          <w:color w:val="000000"/>
        </w:rPr>
        <w:t xml:space="preserve"> </w:t>
      </w:r>
      <w:r w:rsidR="006021C5">
        <w:rPr>
          <w:color w:val="000000"/>
        </w:rPr>
        <w:t>при значении задаваемой адсорбции 4.0 нм</w:t>
      </w:r>
      <w:r w:rsidR="006021C5">
        <w:rPr>
          <w:color w:val="000000"/>
          <w:vertAlign w:val="superscript"/>
        </w:rPr>
        <w:noBreakHyphen/>
        <w:t>2</w:t>
      </w:r>
    </w:p>
    <w:p w14:paraId="0F771810" w14:textId="77777777" w:rsidR="00FE056F" w:rsidRPr="005937F9" w:rsidRDefault="00FE056F" w:rsidP="006021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000000E" w14:textId="77777777" w:rsidR="00130241" w:rsidRPr="00BD379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583546C" w14:textId="77777777" w:rsidR="00C11967" w:rsidRPr="00C11967" w:rsidRDefault="00C11967" w:rsidP="00C119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11967">
        <w:rPr>
          <w:color w:val="000000"/>
          <w:lang w:val="en-US"/>
        </w:rPr>
        <w:t xml:space="preserve">1.  Benoit C., Nieto-Draghi C., </w:t>
      </w:r>
      <w:proofErr w:type="spellStart"/>
      <w:r w:rsidRPr="00C11967">
        <w:rPr>
          <w:color w:val="000000"/>
          <w:lang w:val="en-US"/>
        </w:rPr>
        <w:t>Pannacci</w:t>
      </w:r>
      <w:proofErr w:type="spellEnd"/>
      <w:r w:rsidRPr="00C11967">
        <w:rPr>
          <w:color w:val="000000"/>
          <w:lang w:val="en-US"/>
        </w:rPr>
        <w:t xml:space="preserve"> N. Prediction of Surfactants’ Properties using Multiscale Molecular Modeling Tools: A Review // Oil &amp; Gas Science and Technology. 2013. Vol. 67. P. 969-982. </w:t>
      </w:r>
    </w:p>
    <w:p w14:paraId="3486C755" w14:textId="5C20D865" w:rsidR="00116478" w:rsidRPr="00116478" w:rsidRDefault="00C11967" w:rsidP="00C119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11967">
        <w:rPr>
          <w:color w:val="000000"/>
          <w:lang w:val="en-US"/>
        </w:rPr>
        <w:t xml:space="preserve">2. </w:t>
      </w:r>
      <w:r w:rsidR="004A29AF" w:rsidRPr="004A29AF">
        <w:rPr>
          <w:color w:val="000000"/>
          <w:lang w:val="en-US"/>
        </w:rPr>
        <w:t xml:space="preserve">Souza, P.C.T., et al. Martini 3: a </w:t>
      </w:r>
      <w:proofErr w:type="gramStart"/>
      <w:r w:rsidR="004A29AF" w:rsidRPr="004A29AF">
        <w:rPr>
          <w:color w:val="000000"/>
          <w:lang w:val="en-US"/>
        </w:rPr>
        <w:t>general purpose</w:t>
      </w:r>
      <w:proofErr w:type="gramEnd"/>
      <w:r w:rsidR="004A29AF" w:rsidRPr="004A29AF">
        <w:rPr>
          <w:color w:val="000000"/>
          <w:lang w:val="en-US"/>
        </w:rPr>
        <w:t xml:space="preserve"> force field for coarse-grained molecular dynamics</w:t>
      </w:r>
      <w:r w:rsidR="004A29AF">
        <w:rPr>
          <w:color w:val="000000"/>
          <w:lang w:val="en-US"/>
        </w:rPr>
        <w:t xml:space="preserve"> //</w:t>
      </w:r>
      <w:r w:rsidR="004A29AF" w:rsidRPr="004A29AF">
        <w:rPr>
          <w:color w:val="000000"/>
          <w:lang w:val="en-US"/>
        </w:rPr>
        <w:t xml:space="preserve"> Nature Methods</w:t>
      </w:r>
      <w:r w:rsidR="004A29AF">
        <w:rPr>
          <w:color w:val="000000"/>
          <w:lang w:val="en-US"/>
        </w:rPr>
        <w:t>.</w:t>
      </w:r>
      <w:r w:rsidR="004A29AF" w:rsidRPr="004A29AF">
        <w:rPr>
          <w:color w:val="000000"/>
          <w:lang w:val="en-US"/>
        </w:rPr>
        <w:t xml:space="preserve"> 2021. </w:t>
      </w:r>
      <w:r w:rsidR="004A29AF">
        <w:rPr>
          <w:color w:val="000000"/>
          <w:lang w:val="en-US"/>
        </w:rPr>
        <w:t>Vol. 18.</w:t>
      </w:r>
      <w:r w:rsidR="004A29AF" w:rsidRPr="004A29AF">
        <w:rPr>
          <w:color w:val="000000"/>
          <w:lang w:val="en-US"/>
        </w:rPr>
        <w:t xml:space="preserve"> </w:t>
      </w:r>
      <w:r w:rsidR="004A29AF">
        <w:rPr>
          <w:color w:val="000000"/>
          <w:lang w:val="en-US"/>
        </w:rPr>
        <w:t>P</w:t>
      </w:r>
      <w:r w:rsidR="004A29AF" w:rsidRPr="004A29AF">
        <w:rPr>
          <w:color w:val="000000"/>
          <w:lang w:val="en-US"/>
        </w:rPr>
        <w:t>. 382-388.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1FC8"/>
    <w:rsid w:val="00086081"/>
    <w:rsid w:val="000E12B4"/>
    <w:rsid w:val="00101A1C"/>
    <w:rsid w:val="00103657"/>
    <w:rsid w:val="00106375"/>
    <w:rsid w:val="00116478"/>
    <w:rsid w:val="00130241"/>
    <w:rsid w:val="00144D16"/>
    <w:rsid w:val="001E61C2"/>
    <w:rsid w:val="001F0493"/>
    <w:rsid w:val="002264EE"/>
    <w:rsid w:val="0023307C"/>
    <w:rsid w:val="002978CF"/>
    <w:rsid w:val="0031361E"/>
    <w:rsid w:val="00373914"/>
    <w:rsid w:val="00391C38"/>
    <w:rsid w:val="003B76D6"/>
    <w:rsid w:val="004A26A3"/>
    <w:rsid w:val="004A29AF"/>
    <w:rsid w:val="004B756D"/>
    <w:rsid w:val="004F0EDF"/>
    <w:rsid w:val="00500FBC"/>
    <w:rsid w:val="00522BF1"/>
    <w:rsid w:val="00572B5B"/>
    <w:rsid w:val="00590166"/>
    <w:rsid w:val="005937F9"/>
    <w:rsid w:val="005D022B"/>
    <w:rsid w:val="005E5BE9"/>
    <w:rsid w:val="006021C5"/>
    <w:rsid w:val="00616F26"/>
    <w:rsid w:val="0067182D"/>
    <w:rsid w:val="006773F1"/>
    <w:rsid w:val="0069427D"/>
    <w:rsid w:val="0069575A"/>
    <w:rsid w:val="006F7A19"/>
    <w:rsid w:val="007213E1"/>
    <w:rsid w:val="00775389"/>
    <w:rsid w:val="007802B2"/>
    <w:rsid w:val="007946AD"/>
    <w:rsid w:val="00797838"/>
    <w:rsid w:val="007B6974"/>
    <w:rsid w:val="007C36D8"/>
    <w:rsid w:val="007F2744"/>
    <w:rsid w:val="008467E2"/>
    <w:rsid w:val="008931BE"/>
    <w:rsid w:val="008C67E3"/>
    <w:rsid w:val="00921D45"/>
    <w:rsid w:val="00955235"/>
    <w:rsid w:val="009A66DB"/>
    <w:rsid w:val="009B2F80"/>
    <w:rsid w:val="009B3300"/>
    <w:rsid w:val="009C6385"/>
    <w:rsid w:val="009F3380"/>
    <w:rsid w:val="00A02163"/>
    <w:rsid w:val="00A03671"/>
    <w:rsid w:val="00A314FE"/>
    <w:rsid w:val="00AE5DE7"/>
    <w:rsid w:val="00B73EBD"/>
    <w:rsid w:val="00BD3790"/>
    <w:rsid w:val="00BF36F8"/>
    <w:rsid w:val="00BF4622"/>
    <w:rsid w:val="00C04215"/>
    <w:rsid w:val="00C11967"/>
    <w:rsid w:val="00C52E52"/>
    <w:rsid w:val="00CC361D"/>
    <w:rsid w:val="00CD00B1"/>
    <w:rsid w:val="00D22306"/>
    <w:rsid w:val="00D42542"/>
    <w:rsid w:val="00D43162"/>
    <w:rsid w:val="00D45ACC"/>
    <w:rsid w:val="00D8121C"/>
    <w:rsid w:val="00D95197"/>
    <w:rsid w:val="00D95D2A"/>
    <w:rsid w:val="00DC1285"/>
    <w:rsid w:val="00E22189"/>
    <w:rsid w:val="00E27905"/>
    <w:rsid w:val="00E74069"/>
    <w:rsid w:val="00EB1F49"/>
    <w:rsid w:val="00EE276D"/>
    <w:rsid w:val="00F865B3"/>
    <w:rsid w:val="00FB1509"/>
    <w:rsid w:val="00FE056F"/>
    <w:rsid w:val="00FE6C3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FE056F"/>
    <w:rPr>
      <w:i/>
      <w:iCs/>
    </w:rPr>
  </w:style>
  <w:style w:type="paragraph" w:styleId="ac">
    <w:name w:val="Normal (Web)"/>
    <w:basedOn w:val="a"/>
    <w:uiPriority w:val="99"/>
    <w:semiHidden/>
    <w:unhideWhenUsed/>
    <w:rsid w:val="00FE6C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Lenovo</dc:creator>
  <cp:lastModifiedBy>ThinkPad Lenovo</cp:lastModifiedBy>
  <cp:revision>2</cp:revision>
  <dcterms:created xsi:type="dcterms:W3CDTF">2024-02-16T14:33:00Z</dcterms:created>
  <dcterms:modified xsi:type="dcterms:W3CDTF">2024-02-16T14:33:00Z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