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F76E1C1" w:rsidR="00130241" w:rsidRDefault="001A03ED" w:rsidP="00337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Гетерогенные катализаторы</w:t>
      </w:r>
      <w:r w:rsidR="00337FF0">
        <w:rPr>
          <w:b/>
          <w:color w:val="000000"/>
        </w:rPr>
        <w:t xml:space="preserve"> гидроформилирования </w:t>
      </w:r>
      <w:r>
        <w:rPr>
          <w:b/>
          <w:color w:val="000000"/>
        </w:rPr>
        <w:t xml:space="preserve">и гидроформилирования-ацетализации </w:t>
      </w:r>
      <w:r w:rsidR="00337FF0">
        <w:rPr>
          <w:b/>
          <w:color w:val="000000"/>
        </w:rPr>
        <w:t>на основе пористых органических каркасов</w:t>
      </w:r>
    </w:p>
    <w:p w14:paraId="00000002" w14:textId="6B900840" w:rsidR="00130241" w:rsidRDefault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Ван Ханлинь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Горбунов Д.Н.</w:t>
      </w:r>
      <w:r>
        <w:rPr>
          <w:b/>
          <w:i/>
          <w:color w:val="000000"/>
          <w:vertAlign w:val="superscript"/>
        </w:rPr>
        <w:t>1</w:t>
      </w:r>
    </w:p>
    <w:p w14:paraId="00000003" w14:textId="141FD18B" w:rsidR="00130241" w:rsidRDefault="00333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</w:t>
      </w:r>
      <w:r w:rsidR="00AA4C34">
        <w:rPr>
          <w:i/>
          <w:color w:val="000000"/>
        </w:rPr>
        <w:t xml:space="preserve">рант,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</w:t>
      </w:r>
      <w:r w:rsidR="00AA4C34">
        <w:rPr>
          <w:i/>
          <w:color w:val="000000"/>
        </w:rPr>
        <w:t>ра</w:t>
      </w:r>
      <w:r w:rsidR="00844332">
        <w:rPr>
          <w:i/>
          <w:color w:val="000000"/>
        </w:rPr>
        <w:t>н</w:t>
      </w:r>
      <w:r w:rsidR="00AA4C34">
        <w:rPr>
          <w:i/>
          <w:color w:val="000000"/>
        </w:rPr>
        <w:t>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5CCA3BB" w:rsidR="00130241" w:rsidRPr="00391C38" w:rsidRDefault="00844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4E827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AA4C34" w:rsidRPr="00AA4C34">
        <w:rPr>
          <w:i/>
          <w:color w:val="000000"/>
          <w:u w:val="single"/>
        </w:rPr>
        <w:t>whl767984401@gmail.com</w:t>
      </w:r>
    </w:p>
    <w:p w14:paraId="2C00BCD7" w14:textId="2AB21A9F" w:rsidR="006E6A41" w:rsidRDefault="00BF5368" w:rsidP="00BF5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F5368">
        <w:t xml:space="preserve">С момента открытия </w:t>
      </w:r>
      <w:r w:rsidRPr="00BF5368">
        <w:rPr>
          <w:lang w:eastAsia="zh-CN"/>
        </w:rPr>
        <w:t>реакции</w:t>
      </w:r>
      <w:r w:rsidR="00844332">
        <w:t xml:space="preserve"> гидроформилирования в 1930</w:t>
      </w:r>
      <w:r w:rsidRPr="00BF5368">
        <w:t xml:space="preserve">-х </w:t>
      </w:r>
      <w:r w:rsidRPr="00BF5368">
        <w:rPr>
          <w:lang w:eastAsia="zh-CN"/>
        </w:rPr>
        <w:t>годах, промышленное</w:t>
      </w:r>
      <w:r w:rsidRPr="00BF5368">
        <w:t xml:space="preserve"> использование гомогенных </w:t>
      </w:r>
      <w:r w:rsidRPr="00BF5368">
        <w:rPr>
          <w:lang w:eastAsia="zh-CN"/>
        </w:rPr>
        <w:t>металлокомплексных</w:t>
      </w:r>
      <w:r w:rsidRPr="00BF5368">
        <w:t xml:space="preserve"> катализаторов на основе родия и кобальта для </w:t>
      </w:r>
      <w:r w:rsidRPr="00BF5368">
        <w:rPr>
          <w:lang w:eastAsia="zh-CN"/>
        </w:rPr>
        <w:t>каталитической</w:t>
      </w:r>
      <w:r w:rsidRPr="00BF5368">
        <w:t xml:space="preserve"> </w:t>
      </w:r>
      <w:r w:rsidRPr="00BF5368">
        <w:rPr>
          <w:lang w:eastAsia="zh-CN"/>
        </w:rPr>
        <w:t>реакции</w:t>
      </w:r>
      <w:r w:rsidRPr="00BF5368">
        <w:t xml:space="preserve"> гидроформилирования </w:t>
      </w:r>
      <w:r w:rsidRPr="00BF5368">
        <w:rPr>
          <w:lang w:eastAsia="zh-CN"/>
        </w:rPr>
        <w:t xml:space="preserve">является </w:t>
      </w:r>
      <w:r w:rsidRPr="00BF5368">
        <w:t>общепринятым до сегодняшнего дня.</w:t>
      </w:r>
      <w:r>
        <w:t xml:space="preserve"> Гомогенные системы </w:t>
      </w:r>
      <w:r w:rsidRPr="00BF5368">
        <w:rPr>
          <w:rFonts w:hint="eastAsia"/>
        </w:rPr>
        <w:t>характеризуется</w:t>
      </w:r>
      <w:r w:rsidRPr="00BF5368">
        <w:t xml:space="preserve"> достаточно энергозатратными процедурами выделения катализатора для повторного использования, в связи с чем задача создания новых твердых катализаторов для этой реакции чрезвычайно актуальна.</w:t>
      </w:r>
      <w:r>
        <w:t xml:space="preserve"> </w:t>
      </w:r>
    </w:p>
    <w:p w14:paraId="5F7C6187" w14:textId="392DC58E" w:rsidR="00BF5368" w:rsidRPr="00BF5368" w:rsidRDefault="00BF5368" w:rsidP="00BF5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F5368">
        <w:rPr>
          <w:rFonts w:hint="eastAsia"/>
        </w:rPr>
        <w:t>В</w:t>
      </w:r>
      <w:r w:rsidRPr="00BF5368">
        <w:t xml:space="preserve"> последние десятилетия было разработано несколько новых классов высокопористых полимеров, которые в силу высокой стабильности и простоты модификации, а также развитой поверхности, являются перспективными материалами для синтеза катализаторов.</w:t>
      </w:r>
      <w:r>
        <w:t xml:space="preserve"> </w:t>
      </w:r>
      <w:r w:rsidRPr="00BF5368">
        <w:rPr>
          <w:rFonts w:hint="eastAsia"/>
        </w:rPr>
        <w:t>Один</w:t>
      </w:r>
      <w:r w:rsidRPr="00BF5368">
        <w:t xml:space="preserve"> из типов таких полимеров – пористые ароматические каркасы (PAF), материалы, состоящие из ароматических фрагментов, соединенных ковалентными связями С-С</w:t>
      </w:r>
      <w:r>
        <w:t xml:space="preserve"> </w:t>
      </w:r>
      <w:r>
        <w:rPr>
          <w:rFonts w:eastAsiaTheme="minorEastAsia"/>
          <w:lang w:eastAsia="zh-CN"/>
        </w:rPr>
        <w:t>[1]</w:t>
      </w:r>
      <w:r w:rsidRPr="00BF5368">
        <w:t>.</w:t>
      </w:r>
    </w:p>
    <w:p w14:paraId="68D2F19A" w14:textId="35F37C6E" w:rsidR="00AA4C34" w:rsidRDefault="00446921" w:rsidP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6921">
        <w:rPr>
          <w:rFonts w:hint="eastAsia"/>
          <w:color w:val="000000"/>
        </w:rPr>
        <w:t>В</w:t>
      </w:r>
      <w:r w:rsidRPr="00446921">
        <w:rPr>
          <w:color w:val="000000"/>
        </w:rPr>
        <w:t xml:space="preserve"> нашей работе предложены различные подходы к закреплению </w:t>
      </w:r>
      <w:r w:rsidR="00844332">
        <w:rPr>
          <w:color w:val="000000"/>
        </w:rPr>
        <w:t>родия</w:t>
      </w:r>
      <w:r w:rsidR="004629A5">
        <w:rPr>
          <w:color w:val="000000"/>
        </w:rPr>
        <w:t xml:space="preserve"> на полимерных носителях</w:t>
      </w:r>
      <w:r w:rsidRPr="00446921">
        <w:rPr>
          <w:color w:val="000000"/>
        </w:rPr>
        <w:t>: координация с ковалентно закрепленными азот- и фосфорсодержащими группами</w:t>
      </w:r>
      <w:r w:rsidR="00844332">
        <w:rPr>
          <w:color w:val="000000"/>
        </w:rPr>
        <w:t xml:space="preserve"> </w:t>
      </w:r>
      <w:r w:rsidR="002367FA">
        <w:rPr>
          <w:color w:val="000000"/>
        </w:rPr>
        <w:fldChar w:fldCharType="begin"/>
      </w:r>
      <w:r w:rsidR="002367FA">
        <w:rPr>
          <w:color w:val="000000"/>
        </w:rPr>
        <w:instrText xml:space="preserve"> ADDIN ZOTERO_ITEM CSL_CITATION {"citationID":"dzEUHcdB","properties":{"custom":"[2]","formattedCitation":"[2]","plainCitation":"[2]","noteIndex":0},"citationItems":[{"id":614,"uris":["http://zotero.org/users/11330437/items/URXUM4TU"],"itemData":{"id":614,"type":"article-journal","abstract":"A series of heterogeneous phosphine-containing rhodium hydroformylation catalysts based on porous aromatic frameworks (PAFs) were prepared. The catalysts PAF30-MDEA-TPPTS-Rh (TPPTS is trisodium triphenylphosphine-3,3',3''-trisulfonate, MDEA is methyldiethanolamine fragment) and PAF-30-Im-TPPTS-Rh (Im is imidazole fragment) showed the highest stability in repeated use in 1-hexene hydroformylation. The catalyst PAF-30-MDEA-TPPTS-Rh before and after use in hydroformylation was characterized by elemental C,N,H,S analysis, inductively coupled plasma atomic absorption spectroscopy, low-temperature nitrogen adsorption–desorption, transmission electron microscopy, IR spectroscopy, and X-ray photoelectron spectroscopy. The effect of temperature, pressure, and solvent on the course of hydroformylation in the presence of PAF-30-MDEA-TPPTS-Rh was studied. The catalyst is active in hydroformylation of a series of unsaturated compounds, including functionalized substrates and olefins with internal double bond.","container-title":"Russian Journal of Applied Chemistry","DOI":"10.1134/S1070427223030102","ISSN":"1608-3296","issue":"3","journalAbbreviation":"Russ J Appl Chem","language":"en","page":"342-353","source":"Springer Link","title":"Heterogeneous Phosphine-Containing Hydroformylation Catalysts Based on Modified Porous Organic Frameworks","volume":"96","author":[{"family":"Hanlin","given":"Wang"},{"family":"Nenasheva","given":"M. V."},{"family":"Kulikov","given":"L. A."},{"family":"Akopyan","given":"A. V."},{"family":"Gorbunov","given":"D. N."}],"issued":{"date-parts":[["2023",3,1]]}}}],"schema":"https://github.com/citation-style-language/schema/raw/master/csl-citation.json"} </w:instrText>
      </w:r>
      <w:r w:rsidR="002367FA">
        <w:rPr>
          <w:color w:val="000000"/>
        </w:rPr>
        <w:fldChar w:fldCharType="separate"/>
      </w:r>
      <w:r w:rsidR="002367FA" w:rsidRPr="002367FA">
        <w:t>[2]</w:t>
      </w:r>
      <w:r w:rsidR="002367FA">
        <w:rPr>
          <w:color w:val="000000"/>
        </w:rPr>
        <w:fldChar w:fldCharType="end"/>
      </w:r>
      <w:r w:rsidRPr="00446921">
        <w:rPr>
          <w:color w:val="000000"/>
        </w:rPr>
        <w:t>, а также пропитка носителя солью родия с последующим восстановлением с целью получения наночастиц активного металла.</w:t>
      </w:r>
      <w:r>
        <w:rPr>
          <w:color w:val="000000"/>
        </w:rPr>
        <w:t xml:space="preserve"> </w:t>
      </w:r>
      <w:r w:rsidR="00337FF0">
        <w:rPr>
          <w:color w:val="000000"/>
        </w:rPr>
        <w:t xml:space="preserve">На схеме 1 представлены пути модификации </w:t>
      </w:r>
      <w:r w:rsidR="00337FF0">
        <w:rPr>
          <w:color w:val="000000"/>
          <w:lang w:val="en-US"/>
        </w:rPr>
        <w:t>PAF</w:t>
      </w:r>
      <w:r w:rsidR="00337FF0" w:rsidRPr="00337FF0">
        <w:rPr>
          <w:color w:val="000000"/>
        </w:rPr>
        <w:t xml:space="preserve"> </w:t>
      </w:r>
      <w:r w:rsidR="00337FF0">
        <w:rPr>
          <w:color w:val="000000"/>
        </w:rPr>
        <w:t>и закрепления родия.</w:t>
      </w:r>
    </w:p>
    <w:p w14:paraId="5E81E080" w14:textId="58678F60" w:rsidR="00337FF0" w:rsidRPr="00AA4C34" w:rsidRDefault="007132C0" w:rsidP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7F43F01" wp14:editId="1FE49E3A">
            <wp:extent cx="4323721" cy="2011680"/>
            <wp:effectExtent l="0" t="0" r="635" b="7620"/>
            <wp:docPr id="1008993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93879" name="图片 10089938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401" cy="20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7C20" w14:textId="0BCD353E" w:rsidR="00337FF0" w:rsidRPr="00844332" w:rsidRDefault="00337FF0" w:rsidP="002367FA">
      <w:pPr>
        <w:jc w:val="center"/>
        <w:rPr>
          <w:iCs/>
          <w:szCs w:val="22"/>
        </w:rPr>
      </w:pPr>
      <w:r w:rsidRPr="00844332">
        <w:rPr>
          <w:iCs/>
          <w:color w:val="000000"/>
          <w:szCs w:val="22"/>
        </w:rPr>
        <w:t>Схема 1.</w:t>
      </w:r>
      <w:r w:rsidRPr="00844332">
        <w:rPr>
          <w:iCs/>
          <w:szCs w:val="22"/>
        </w:rPr>
        <w:t xml:space="preserve"> Синтез гетероген</w:t>
      </w:r>
      <w:r w:rsidR="001A03ED">
        <w:rPr>
          <w:iCs/>
          <w:szCs w:val="22"/>
        </w:rPr>
        <w:t>ных</w:t>
      </w:r>
      <w:r w:rsidRPr="00844332">
        <w:rPr>
          <w:iCs/>
          <w:szCs w:val="22"/>
        </w:rPr>
        <w:t xml:space="preserve"> катализаторов </w:t>
      </w:r>
      <w:r w:rsidRPr="00844332">
        <w:rPr>
          <w:iCs/>
          <w:szCs w:val="22"/>
          <w:lang w:val="en-US"/>
        </w:rPr>
        <w:t>PAF</w:t>
      </w:r>
      <w:r w:rsidRPr="00844332">
        <w:rPr>
          <w:iCs/>
          <w:szCs w:val="22"/>
        </w:rPr>
        <w:t>-</w:t>
      </w:r>
      <w:r w:rsidR="007132C0" w:rsidRPr="00844332">
        <w:rPr>
          <w:iCs/>
          <w:szCs w:val="22"/>
          <w:lang w:val="en-US"/>
        </w:rPr>
        <w:t>MDEA</w:t>
      </w:r>
      <w:r w:rsidRPr="00844332">
        <w:rPr>
          <w:iCs/>
          <w:szCs w:val="22"/>
        </w:rPr>
        <w:t>-</w:t>
      </w:r>
      <w:r w:rsidR="007132C0" w:rsidRPr="00844332">
        <w:rPr>
          <w:rFonts w:eastAsiaTheme="minorEastAsia" w:hint="eastAsia"/>
          <w:iCs/>
          <w:szCs w:val="22"/>
          <w:lang w:val="en-US" w:eastAsia="zh-CN"/>
        </w:rPr>
        <w:t>T</w:t>
      </w:r>
      <w:r w:rsidR="007132C0" w:rsidRPr="00844332">
        <w:rPr>
          <w:rFonts w:eastAsiaTheme="minorEastAsia"/>
          <w:iCs/>
          <w:szCs w:val="22"/>
          <w:lang w:val="en-US" w:eastAsia="zh-CN"/>
        </w:rPr>
        <w:t>PPTs</w:t>
      </w:r>
      <w:r w:rsidRPr="00844332">
        <w:rPr>
          <w:iCs/>
          <w:szCs w:val="22"/>
        </w:rPr>
        <w:t>-</w:t>
      </w:r>
      <w:r w:rsidRPr="00844332">
        <w:rPr>
          <w:iCs/>
          <w:szCs w:val="22"/>
          <w:lang w:val="en-US"/>
        </w:rPr>
        <w:t>Rh</w:t>
      </w:r>
      <w:r w:rsidRPr="00844332">
        <w:rPr>
          <w:iCs/>
          <w:szCs w:val="22"/>
        </w:rPr>
        <w:t xml:space="preserve"> (1) и </w:t>
      </w:r>
      <w:r w:rsidR="001A03ED">
        <w:rPr>
          <w:iCs/>
          <w:szCs w:val="22"/>
        </w:rPr>
        <w:br/>
      </w:r>
      <w:r w:rsidRPr="00844332">
        <w:rPr>
          <w:iCs/>
          <w:szCs w:val="22"/>
          <w:lang w:val="en-US"/>
        </w:rPr>
        <w:t>PAF</w:t>
      </w:r>
      <w:r w:rsidRPr="00844332">
        <w:rPr>
          <w:iCs/>
          <w:szCs w:val="22"/>
        </w:rPr>
        <w:t>-</w:t>
      </w:r>
      <w:r w:rsidR="007132C0" w:rsidRPr="00844332">
        <w:rPr>
          <w:iCs/>
          <w:szCs w:val="22"/>
          <w:lang w:val="en-US"/>
        </w:rPr>
        <w:t>SO</w:t>
      </w:r>
      <w:r w:rsidR="007132C0" w:rsidRPr="00844332">
        <w:rPr>
          <w:iCs/>
          <w:szCs w:val="22"/>
          <w:vertAlign w:val="subscript"/>
        </w:rPr>
        <w:t>3</w:t>
      </w:r>
      <w:r w:rsidRPr="00844332">
        <w:rPr>
          <w:iCs/>
          <w:szCs w:val="22"/>
        </w:rPr>
        <w:t>-</w:t>
      </w:r>
      <w:r w:rsidRPr="00844332">
        <w:rPr>
          <w:iCs/>
          <w:szCs w:val="22"/>
          <w:lang w:val="en-US"/>
        </w:rPr>
        <w:t>Rh</w:t>
      </w:r>
      <w:r w:rsidR="007132C0" w:rsidRPr="00844332">
        <w:rPr>
          <w:iCs/>
          <w:szCs w:val="22"/>
          <w:lang w:val="en-US"/>
        </w:rPr>
        <w:t>NPs</w:t>
      </w:r>
      <w:r w:rsidR="004629A5">
        <w:rPr>
          <w:iCs/>
          <w:szCs w:val="22"/>
        </w:rPr>
        <w:t xml:space="preserve"> (2)</w:t>
      </w:r>
    </w:p>
    <w:p w14:paraId="4AFDC3C2" w14:textId="14BBCDEA" w:rsidR="00E22189" w:rsidRPr="00484E92" w:rsidRDefault="00337FF0" w:rsidP="0046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В результате были наработаны образцы катализаторов </w:t>
      </w:r>
      <w:r w:rsidRPr="00337FF0">
        <w:rPr>
          <w:color w:val="000000"/>
        </w:rPr>
        <w:t>PAF-</w:t>
      </w:r>
      <w:r w:rsidR="005014C3">
        <w:rPr>
          <w:color w:val="000000"/>
        </w:rPr>
        <w:t>MDE</w:t>
      </w:r>
      <w:r w:rsidRPr="00337FF0">
        <w:rPr>
          <w:color w:val="000000"/>
        </w:rPr>
        <w:t>A-</w:t>
      </w:r>
      <w:r w:rsidR="00844332">
        <w:rPr>
          <w:color w:val="000000"/>
        </w:rPr>
        <w:t>TPPT</w:t>
      </w:r>
      <w:r w:rsidR="00844332">
        <w:rPr>
          <w:color w:val="000000"/>
          <w:lang w:val="en-US"/>
        </w:rPr>
        <w:t>S</w:t>
      </w:r>
      <w:r w:rsidR="005014C3">
        <w:rPr>
          <w:color w:val="000000"/>
        </w:rPr>
        <w:t>-</w:t>
      </w:r>
      <w:r w:rsidRPr="00337FF0">
        <w:rPr>
          <w:color w:val="000000"/>
        </w:rPr>
        <w:t>Rh (1) и PAF-</w:t>
      </w:r>
      <w:r w:rsidR="005014C3">
        <w:rPr>
          <w:color w:val="000000"/>
        </w:rPr>
        <w:t>SO</w:t>
      </w:r>
      <w:r w:rsidR="005014C3" w:rsidRPr="005014C3">
        <w:rPr>
          <w:color w:val="000000"/>
          <w:vertAlign w:val="subscript"/>
        </w:rPr>
        <w:t>3</w:t>
      </w:r>
      <w:r w:rsidRPr="00337FF0">
        <w:rPr>
          <w:color w:val="000000"/>
        </w:rPr>
        <w:t>-Rh</w:t>
      </w:r>
      <w:r w:rsidR="005014C3">
        <w:rPr>
          <w:color w:val="000000"/>
        </w:rPr>
        <w:t>NPs</w:t>
      </w:r>
      <w:r w:rsidRPr="00337FF0">
        <w:rPr>
          <w:color w:val="000000"/>
        </w:rPr>
        <w:t xml:space="preserve"> (2)</w:t>
      </w:r>
      <w:r>
        <w:rPr>
          <w:color w:val="000000"/>
        </w:rPr>
        <w:t>, с массовым содержанием родия 1,</w:t>
      </w:r>
      <w:r w:rsidR="005014C3">
        <w:rPr>
          <w:color w:val="000000"/>
        </w:rPr>
        <w:t>0</w:t>
      </w:r>
      <w:r>
        <w:rPr>
          <w:color w:val="000000"/>
        </w:rPr>
        <w:t xml:space="preserve">5 и </w:t>
      </w:r>
      <w:r w:rsidR="00484E92">
        <w:rPr>
          <w:color w:val="000000"/>
        </w:rPr>
        <w:t>4,2</w:t>
      </w:r>
      <w:r>
        <w:rPr>
          <w:color w:val="000000"/>
        </w:rPr>
        <w:t>%, соответственно.</w:t>
      </w:r>
      <w:r w:rsidR="00844332" w:rsidRPr="00844332">
        <w:rPr>
          <w:color w:val="000000"/>
        </w:rPr>
        <w:t xml:space="preserve"> </w:t>
      </w:r>
      <w:r w:rsidR="00844332">
        <w:rPr>
          <w:color w:val="000000"/>
        </w:rPr>
        <w:t>Катализаторы проявили высокую активность в гидроформилировании гексена-1 и стабильность при повторных использования</w:t>
      </w:r>
      <w:r w:rsidR="004629A5">
        <w:rPr>
          <w:color w:val="000000"/>
        </w:rPr>
        <w:t>х</w:t>
      </w:r>
      <w:r w:rsidR="00844332">
        <w:rPr>
          <w:color w:val="000000"/>
        </w:rPr>
        <w:t>.</w:t>
      </w:r>
      <w:r w:rsidR="00484E92">
        <w:rPr>
          <w:color w:val="000000"/>
        </w:rPr>
        <w:t xml:space="preserve"> </w:t>
      </w:r>
      <w:r w:rsidR="001A03ED">
        <w:rPr>
          <w:rFonts w:hint="eastAsia"/>
          <w:color w:val="000000"/>
        </w:rPr>
        <w:t>Показана</w:t>
      </w:r>
      <w:r w:rsidR="00844332">
        <w:rPr>
          <w:color w:val="000000"/>
        </w:rPr>
        <w:t xml:space="preserve"> возможность</w:t>
      </w:r>
      <w:r w:rsidR="00484E92" w:rsidRPr="00484E92">
        <w:rPr>
          <w:color w:val="000000"/>
        </w:rPr>
        <w:t xml:space="preserve"> </w:t>
      </w:r>
      <w:r w:rsidR="001A03ED">
        <w:rPr>
          <w:color w:val="000000"/>
        </w:rPr>
        <w:t xml:space="preserve">проведения </w:t>
      </w:r>
      <w:r w:rsidR="00484E92" w:rsidRPr="00484E92">
        <w:rPr>
          <w:color w:val="000000"/>
        </w:rPr>
        <w:t xml:space="preserve">тандемной </w:t>
      </w:r>
      <w:r w:rsidR="001A03ED">
        <w:rPr>
          <w:color w:val="000000"/>
        </w:rPr>
        <w:t xml:space="preserve">реакции </w:t>
      </w:r>
      <w:r w:rsidR="00484E92">
        <w:rPr>
          <w:color w:val="000000"/>
        </w:rPr>
        <w:t>гидроформилирования</w:t>
      </w:r>
      <w:r w:rsidR="00484E92" w:rsidRPr="00484E92">
        <w:rPr>
          <w:color w:val="000000"/>
        </w:rPr>
        <w:t xml:space="preserve">-ацетализации </w:t>
      </w:r>
      <w:r w:rsidR="00484E92">
        <w:rPr>
          <w:color w:val="000000"/>
        </w:rPr>
        <w:t xml:space="preserve">для катализатора </w:t>
      </w:r>
      <w:r w:rsidR="00484E92" w:rsidRPr="00337FF0">
        <w:rPr>
          <w:color w:val="000000"/>
        </w:rPr>
        <w:t>PAF-</w:t>
      </w:r>
      <w:r w:rsidR="00484E92">
        <w:rPr>
          <w:color w:val="000000"/>
        </w:rPr>
        <w:t>SO</w:t>
      </w:r>
      <w:r w:rsidR="00484E92" w:rsidRPr="005014C3">
        <w:rPr>
          <w:color w:val="000000"/>
          <w:vertAlign w:val="subscript"/>
        </w:rPr>
        <w:t>3</w:t>
      </w:r>
      <w:r w:rsidR="00484E92" w:rsidRPr="00337FF0">
        <w:rPr>
          <w:color w:val="000000"/>
        </w:rPr>
        <w:t>-Rh</w:t>
      </w:r>
      <w:r w:rsidR="00484E92">
        <w:rPr>
          <w:color w:val="000000"/>
        </w:rPr>
        <w:t>NPs.</w:t>
      </w:r>
    </w:p>
    <w:p w14:paraId="145B2A86" w14:textId="05EE60BC" w:rsidR="00AA4C34" w:rsidRDefault="00AA4C34" w:rsidP="0046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A4C34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r w:rsidR="001A03ED">
        <w:rPr>
          <w:i/>
          <w:iCs/>
          <w:color w:val="000000"/>
        </w:rPr>
        <w:br/>
      </w:r>
      <w:r w:rsidRPr="00AA4C34">
        <w:rPr>
          <w:i/>
          <w:iCs/>
          <w:color w:val="000000"/>
        </w:rPr>
        <w:t>(проект № 22-79-10044)</w:t>
      </w:r>
    </w:p>
    <w:p w14:paraId="0749E26D" w14:textId="246217A8" w:rsidR="00635CC9" w:rsidRPr="006E6A41" w:rsidRDefault="00EB1F49" w:rsidP="0046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83EE668" w14:textId="3AA1A606" w:rsidR="00412509" w:rsidRPr="001A03ED" w:rsidRDefault="002367FA" w:rsidP="002367FA">
      <w:pPr>
        <w:pStyle w:val="ae"/>
        <w:ind w:left="0" w:firstLineChars="0" w:firstLine="0"/>
        <w:rPr>
          <w:rFonts w:ascii="Times New Roman" w:hAnsi="Times New Roman" w:cs="Times New Roman"/>
          <w:iCs/>
          <w:sz w:val="24"/>
          <w:szCs w:val="21"/>
          <w:lang w:val="en-US"/>
        </w:rPr>
      </w:pPr>
      <w:r w:rsidRPr="001A03ED">
        <w:rPr>
          <w:rFonts w:ascii="Times New Roman" w:hAnsi="Times New Roman" w:cs="Times New Roman"/>
          <w:iCs/>
          <w:color w:val="000000"/>
          <w:sz w:val="24"/>
          <w:szCs w:val="21"/>
        </w:rPr>
        <w:t xml:space="preserve">1.   </w:t>
      </w:r>
      <w:r w:rsidR="00412509" w:rsidRPr="001A03ED">
        <w:rPr>
          <w:rFonts w:ascii="Times New Roman" w:hAnsi="Times New Roman" w:cs="Times New Roman"/>
          <w:iCs/>
          <w:sz w:val="24"/>
          <w:szCs w:val="21"/>
          <w:lang w:val="en-US"/>
        </w:rPr>
        <w:t>Ben</w:t>
      </w:r>
      <w:r w:rsidR="00412509" w:rsidRPr="001A03ED">
        <w:rPr>
          <w:rFonts w:ascii="Times New Roman" w:hAnsi="Times New Roman" w:cs="Times New Roman"/>
          <w:iCs/>
          <w:sz w:val="24"/>
          <w:szCs w:val="21"/>
        </w:rPr>
        <w:t xml:space="preserve"> </w:t>
      </w:r>
      <w:r w:rsidR="00412509" w:rsidRPr="001A03ED">
        <w:rPr>
          <w:rFonts w:ascii="Times New Roman" w:hAnsi="Times New Roman" w:cs="Times New Roman"/>
          <w:iCs/>
          <w:sz w:val="24"/>
          <w:szCs w:val="21"/>
          <w:lang w:val="en-US"/>
        </w:rPr>
        <w:t>T</w:t>
      </w:r>
      <w:r w:rsidR="00412509" w:rsidRPr="001A03ED">
        <w:rPr>
          <w:rFonts w:ascii="Times New Roman" w:hAnsi="Times New Roman" w:cs="Times New Roman"/>
          <w:iCs/>
          <w:sz w:val="24"/>
          <w:szCs w:val="21"/>
        </w:rPr>
        <w:t xml:space="preserve">. </w:t>
      </w:r>
      <w:r w:rsidR="00412509" w:rsidRPr="001A03ED">
        <w:rPr>
          <w:rFonts w:ascii="Times New Roman" w:hAnsi="Times New Roman" w:cs="Times New Roman"/>
          <w:iCs/>
          <w:sz w:val="24"/>
          <w:szCs w:val="21"/>
          <w:lang w:val="en-US"/>
        </w:rPr>
        <w:t>et</w:t>
      </w:r>
      <w:r w:rsidR="00412509" w:rsidRPr="001A03ED">
        <w:rPr>
          <w:rFonts w:ascii="Times New Roman" w:hAnsi="Times New Roman" w:cs="Times New Roman"/>
          <w:iCs/>
          <w:sz w:val="24"/>
          <w:szCs w:val="21"/>
        </w:rPr>
        <w:t xml:space="preserve"> </w:t>
      </w:r>
      <w:r w:rsidR="00412509" w:rsidRPr="001A03ED">
        <w:rPr>
          <w:rFonts w:ascii="Times New Roman" w:hAnsi="Times New Roman" w:cs="Times New Roman"/>
          <w:iCs/>
          <w:sz w:val="24"/>
          <w:szCs w:val="21"/>
          <w:lang w:val="en-US"/>
        </w:rPr>
        <w:t>al</w:t>
      </w:r>
      <w:r w:rsidR="00412509" w:rsidRPr="001A03ED">
        <w:rPr>
          <w:rFonts w:ascii="Times New Roman" w:hAnsi="Times New Roman" w:cs="Times New Roman"/>
          <w:iCs/>
          <w:sz w:val="24"/>
          <w:szCs w:val="21"/>
        </w:rPr>
        <w:t xml:space="preserve">. </w:t>
      </w:r>
      <w:r w:rsidR="00412509" w:rsidRPr="001A03ED">
        <w:rPr>
          <w:rFonts w:ascii="Times New Roman" w:hAnsi="Times New Roman" w:cs="Times New Roman"/>
          <w:iCs/>
          <w:sz w:val="24"/>
          <w:szCs w:val="21"/>
          <w:lang w:val="en-US"/>
        </w:rPr>
        <w:t>Targeted Synthesis of a Porous Aromatic Framework with High Stability and Exceptionally High Surface Area // Angewandte Chemie International Edition. 2009. Vol. 48, № 50. P. 9457–9460.</w:t>
      </w:r>
      <w:bookmarkStart w:id="0" w:name="_GoBack"/>
      <w:bookmarkEnd w:id="0"/>
    </w:p>
    <w:p w14:paraId="3486C755" w14:textId="170341F6" w:rsidR="00116478" w:rsidRPr="001A03ED" w:rsidRDefault="002367FA" w:rsidP="002367FA">
      <w:pPr>
        <w:pStyle w:val="ae"/>
        <w:ind w:left="0" w:firstLineChars="0" w:firstLine="0"/>
        <w:rPr>
          <w:color w:val="000000"/>
          <w:sz w:val="28"/>
          <w:lang w:val="en-US"/>
        </w:rPr>
      </w:pPr>
      <w:r w:rsidRPr="001A03ED">
        <w:rPr>
          <w:rFonts w:ascii="Times New Roman" w:hAnsi="Times New Roman" w:cs="Times New Roman"/>
          <w:iCs/>
          <w:color w:val="000000"/>
          <w:sz w:val="24"/>
          <w:szCs w:val="21"/>
          <w:lang w:val="en-US"/>
        </w:rPr>
        <w:t>2. Hanlin W., Nenasheva M.V., Kulikov L.A., Akopyan A.V., Gorbunov D.N. Heterogeneous Phosphine-Containing Hydroformylation Catalysts Based on Modified Porous Organic Frameworks // Russ J Appl Chem. 2023. Vol. 96, № 3. P. 342–353.</w:t>
      </w:r>
    </w:p>
    <w:sectPr w:rsidR="00116478" w:rsidRPr="001A03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C844B" w14:textId="77777777" w:rsidR="00950978" w:rsidRDefault="00950978" w:rsidP="00333885">
      <w:r>
        <w:separator/>
      </w:r>
    </w:p>
  </w:endnote>
  <w:endnote w:type="continuationSeparator" w:id="0">
    <w:p w14:paraId="38757F11" w14:textId="77777777" w:rsidR="00950978" w:rsidRDefault="00950978" w:rsidP="0033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2C649" w14:textId="77777777" w:rsidR="00950978" w:rsidRDefault="00950978" w:rsidP="00333885">
      <w:r>
        <w:separator/>
      </w:r>
    </w:p>
  </w:footnote>
  <w:footnote w:type="continuationSeparator" w:id="0">
    <w:p w14:paraId="062E3F50" w14:textId="77777777" w:rsidR="00950978" w:rsidRDefault="00950978" w:rsidP="0033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A03ED"/>
    <w:rsid w:val="001E61C2"/>
    <w:rsid w:val="001F0493"/>
    <w:rsid w:val="00210C64"/>
    <w:rsid w:val="002264EE"/>
    <w:rsid w:val="0023307C"/>
    <w:rsid w:val="002367FA"/>
    <w:rsid w:val="0031361E"/>
    <w:rsid w:val="00333885"/>
    <w:rsid w:val="00337FF0"/>
    <w:rsid w:val="00391C38"/>
    <w:rsid w:val="003B76D6"/>
    <w:rsid w:val="00412509"/>
    <w:rsid w:val="00446921"/>
    <w:rsid w:val="004629A5"/>
    <w:rsid w:val="00484E92"/>
    <w:rsid w:val="004A26A3"/>
    <w:rsid w:val="004F0EDF"/>
    <w:rsid w:val="005014C3"/>
    <w:rsid w:val="00522BF1"/>
    <w:rsid w:val="00590166"/>
    <w:rsid w:val="00635CC9"/>
    <w:rsid w:val="00676126"/>
    <w:rsid w:val="006B77AE"/>
    <w:rsid w:val="006E6A41"/>
    <w:rsid w:val="006F7A19"/>
    <w:rsid w:val="007132C0"/>
    <w:rsid w:val="00775389"/>
    <w:rsid w:val="00797838"/>
    <w:rsid w:val="007C36D8"/>
    <w:rsid w:val="007F2744"/>
    <w:rsid w:val="00844332"/>
    <w:rsid w:val="00892380"/>
    <w:rsid w:val="008931BE"/>
    <w:rsid w:val="00921D45"/>
    <w:rsid w:val="00950978"/>
    <w:rsid w:val="009A66DB"/>
    <w:rsid w:val="009B2F80"/>
    <w:rsid w:val="009B3300"/>
    <w:rsid w:val="009F3380"/>
    <w:rsid w:val="00A02163"/>
    <w:rsid w:val="00A314FE"/>
    <w:rsid w:val="00A92B99"/>
    <w:rsid w:val="00AA4C34"/>
    <w:rsid w:val="00AB4029"/>
    <w:rsid w:val="00AF3438"/>
    <w:rsid w:val="00BF36F8"/>
    <w:rsid w:val="00BF4622"/>
    <w:rsid w:val="00BF5368"/>
    <w:rsid w:val="00CD00B1"/>
    <w:rsid w:val="00D22306"/>
    <w:rsid w:val="00D42542"/>
    <w:rsid w:val="00D8121C"/>
    <w:rsid w:val="00E00358"/>
    <w:rsid w:val="00E22189"/>
    <w:rsid w:val="00E710AC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338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333885"/>
    <w:rPr>
      <w:rFonts w:ascii="Times New Roman" w:eastAsia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338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333885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Bibliography"/>
    <w:basedOn w:val="a"/>
    <w:next w:val="a"/>
    <w:uiPriority w:val="37"/>
    <w:unhideWhenUsed/>
    <w:rsid w:val="00412509"/>
    <w:pPr>
      <w:tabs>
        <w:tab w:val="left" w:pos="264"/>
      </w:tabs>
      <w:ind w:left="264" w:right="-34" w:firstLineChars="200" w:hanging="26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9FAFCF-E2DA-4305-A129-BC835E41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dcterms:created xsi:type="dcterms:W3CDTF">2023-02-14T14:22:00Z</dcterms:created>
  <dcterms:modified xsi:type="dcterms:W3CDTF">2024-02-13T10:58:00Z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id="8ARnEWxL"/&gt;&lt;style id="http://www.zotero.org/styles/gost-r-7-0-5-2008-numeric" hasBibliography="1" bibliographyStyleHasBeenSet="1"/&gt;&lt;prefs&gt;&lt;pref name="fieldType" value="Field"/&gt;&lt;/prefs&gt;&lt;/data&gt;</vt:lpwstr>
  </property>
</Properties>
</file>