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5C2B5638" w:rsidR="00130241" w:rsidRDefault="007F3085" w:rsidP="002E5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F3085">
        <w:rPr>
          <w:b/>
          <w:color w:val="000000"/>
        </w:rPr>
        <w:t xml:space="preserve">Использование модели бимолекулярной адсорбции для описания свойств солей модифицированных </w:t>
      </w:r>
      <w:r>
        <w:rPr>
          <w:b/>
          <w:color w:val="000000"/>
        </w:rPr>
        <w:t>гуминовых кислот</w:t>
      </w:r>
    </w:p>
    <w:p w14:paraId="00000002" w14:textId="2686519F" w:rsidR="00130241" w:rsidRDefault="002E5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Рогатко</w:t>
      </w:r>
      <w:proofErr w:type="spellEnd"/>
      <w:r>
        <w:rPr>
          <w:b/>
          <w:i/>
          <w:color w:val="000000"/>
        </w:rPr>
        <w:t xml:space="preserve"> М.И.</w:t>
      </w:r>
      <w:r>
        <w:rPr>
          <w:b/>
          <w:i/>
          <w:color w:val="000000"/>
          <w:vertAlign w:val="superscript"/>
        </w:rPr>
        <w:t>1</w:t>
      </w:r>
    </w:p>
    <w:p w14:paraId="00000003" w14:textId="17D9CF98" w:rsidR="00130241" w:rsidRDefault="002E5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42206D77" w14:textId="77777777" w:rsidR="002E518E" w:rsidRDefault="00EB1F49" w:rsidP="002E5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2E518E" w:rsidRPr="002E518E">
        <w:rPr>
          <w:i/>
          <w:color w:val="000000"/>
        </w:rPr>
        <w:t xml:space="preserve">Институт физико-органической химии и </w:t>
      </w:r>
      <w:proofErr w:type="spellStart"/>
      <w:r w:rsidR="002E518E" w:rsidRPr="002E518E">
        <w:rPr>
          <w:i/>
          <w:color w:val="000000"/>
        </w:rPr>
        <w:t>углехимии</w:t>
      </w:r>
      <w:proofErr w:type="spellEnd"/>
      <w:r w:rsidR="002E518E" w:rsidRPr="002E518E">
        <w:rPr>
          <w:i/>
          <w:color w:val="000000"/>
        </w:rPr>
        <w:t xml:space="preserve"> им. Л. М. Литвиненко</w:t>
      </w:r>
      <w:r>
        <w:rPr>
          <w:i/>
          <w:color w:val="000000"/>
        </w:rPr>
        <w:t xml:space="preserve">, </w:t>
      </w:r>
    </w:p>
    <w:p w14:paraId="00000005" w14:textId="711443DF" w:rsidR="00130241" w:rsidRPr="00391C38" w:rsidRDefault="002E518E" w:rsidP="002E5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Донецк</w:t>
      </w:r>
      <w:r w:rsidR="00EB1F49">
        <w:rPr>
          <w:i/>
          <w:color w:val="000000"/>
        </w:rPr>
        <w:t>, Россия</w:t>
      </w:r>
    </w:p>
    <w:p w14:paraId="1ADA4293" w14:textId="4C1C0070" w:rsidR="00CD00B1" w:rsidRPr="009A3835" w:rsidRDefault="00EB1F49" w:rsidP="002E518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E518E">
        <w:rPr>
          <w:i/>
          <w:color w:val="000000"/>
          <w:lang w:val="en-US"/>
        </w:rPr>
        <w:t>E</w:t>
      </w:r>
      <w:r w:rsidR="003B76D6" w:rsidRPr="009A3835">
        <w:rPr>
          <w:i/>
          <w:color w:val="000000"/>
        </w:rPr>
        <w:t>-</w:t>
      </w:r>
      <w:r w:rsidRPr="002E518E">
        <w:rPr>
          <w:i/>
          <w:color w:val="000000"/>
          <w:lang w:val="en-US"/>
        </w:rPr>
        <w:t>mail</w:t>
      </w:r>
      <w:r w:rsidRPr="009A3835">
        <w:rPr>
          <w:i/>
          <w:color w:val="000000"/>
        </w:rPr>
        <w:t xml:space="preserve">: </w:t>
      </w:r>
      <w:r w:rsidR="008A071F" w:rsidRPr="008A071F">
        <w:rPr>
          <w:i/>
          <w:color w:val="000000"/>
          <w:u w:val="single"/>
          <w:lang w:val="en-US"/>
        </w:rPr>
        <w:t>marina</w:t>
      </w:r>
      <w:r w:rsidR="008A071F" w:rsidRPr="009A3835">
        <w:rPr>
          <w:i/>
          <w:color w:val="000000"/>
          <w:u w:val="single"/>
        </w:rPr>
        <w:t>.</w:t>
      </w:r>
      <w:proofErr w:type="spellStart"/>
      <w:r w:rsidR="008A071F" w:rsidRPr="008A071F">
        <w:rPr>
          <w:i/>
          <w:color w:val="000000"/>
          <w:u w:val="single"/>
          <w:lang w:val="en-US"/>
        </w:rPr>
        <w:t>rogatko</w:t>
      </w:r>
      <w:proofErr w:type="spellEnd"/>
      <w:r w:rsidR="008A071F" w:rsidRPr="009A3835">
        <w:rPr>
          <w:i/>
          <w:color w:val="000000"/>
          <w:u w:val="single"/>
        </w:rPr>
        <w:t>@</w:t>
      </w:r>
      <w:proofErr w:type="spellStart"/>
      <w:r w:rsidR="008A071F" w:rsidRPr="008A071F">
        <w:rPr>
          <w:i/>
          <w:color w:val="000000"/>
          <w:u w:val="single"/>
          <w:lang w:val="en-US"/>
        </w:rPr>
        <w:t>gmail</w:t>
      </w:r>
      <w:proofErr w:type="spellEnd"/>
      <w:r w:rsidR="008A071F" w:rsidRPr="009A3835">
        <w:rPr>
          <w:i/>
          <w:color w:val="000000"/>
          <w:u w:val="single"/>
        </w:rPr>
        <w:t>.</w:t>
      </w:r>
      <w:r w:rsidR="008A071F" w:rsidRPr="008A071F">
        <w:rPr>
          <w:i/>
          <w:color w:val="000000"/>
          <w:u w:val="single"/>
          <w:lang w:val="en-US"/>
        </w:rPr>
        <w:t>com</w:t>
      </w:r>
    </w:p>
    <w:p w14:paraId="385C8333" w14:textId="7686C104" w:rsidR="00425A1B" w:rsidRDefault="00425A1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Гуминовые кислоты – это с</w:t>
      </w:r>
      <w:r w:rsidR="00BA7266">
        <w:rPr>
          <w:color w:val="000000"/>
        </w:rPr>
        <w:t xml:space="preserve">ложные природные биополимеры, характерной особенностью которых является наличие большого количества функциональных групп (гидроксильных, карбоксильных, </w:t>
      </w:r>
      <w:proofErr w:type="spellStart"/>
      <w:r w:rsidR="00BA7266">
        <w:rPr>
          <w:color w:val="000000"/>
        </w:rPr>
        <w:t>метоксильных</w:t>
      </w:r>
      <w:proofErr w:type="spellEnd"/>
      <w:r w:rsidR="00BA7266">
        <w:rPr>
          <w:color w:val="000000"/>
        </w:rPr>
        <w:t>, хиноидных), что обуславливает их необычайно высокую способность вступать в химические реакции</w:t>
      </w:r>
      <w:r w:rsidR="00BA7266" w:rsidRPr="00BA7266">
        <w:rPr>
          <w:color w:val="000000"/>
        </w:rPr>
        <w:t xml:space="preserve">, участвовать в </w:t>
      </w:r>
      <w:proofErr w:type="spellStart"/>
      <w:r w:rsidR="00BA7266" w:rsidRPr="00BA7266">
        <w:rPr>
          <w:color w:val="000000"/>
        </w:rPr>
        <w:t>окислительно</w:t>
      </w:r>
      <w:proofErr w:type="spellEnd"/>
      <w:r w:rsidR="00BA7266" w:rsidRPr="00BA7266">
        <w:rPr>
          <w:color w:val="000000"/>
        </w:rPr>
        <w:t xml:space="preserve">-восстановительных и сорбционных процессах, что </w:t>
      </w:r>
      <w:r w:rsidR="00A17614">
        <w:rPr>
          <w:color w:val="000000"/>
        </w:rPr>
        <w:t>делает возможным</w:t>
      </w:r>
      <w:r w:rsidR="00BA7266" w:rsidRPr="00BA7266">
        <w:rPr>
          <w:color w:val="000000"/>
        </w:rPr>
        <w:t xml:space="preserve"> их </w:t>
      </w:r>
      <w:r w:rsidR="00A17614">
        <w:rPr>
          <w:color w:val="000000"/>
        </w:rPr>
        <w:t xml:space="preserve">использование </w:t>
      </w:r>
      <w:r w:rsidR="00BA7266" w:rsidRPr="00BA7266">
        <w:rPr>
          <w:color w:val="000000"/>
        </w:rPr>
        <w:t xml:space="preserve">в качестве эффективных и дешевых ПАВ, </w:t>
      </w:r>
      <w:r w:rsidR="002E100F">
        <w:rPr>
          <w:color w:val="000000"/>
        </w:rPr>
        <w:t>антикоррозионных агентов</w:t>
      </w:r>
      <w:r w:rsidR="00BA7266" w:rsidRPr="00BA7266">
        <w:rPr>
          <w:color w:val="000000"/>
        </w:rPr>
        <w:t xml:space="preserve">, </w:t>
      </w:r>
      <w:proofErr w:type="spellStart"/>
      <w:r w:rsidR="00BA7266" w:rsidRPr="00BA7266">
        <w:rPr>
          <w:color w:val="000000"/>
        </w:rPr>
        <w:t>редокс</w:t>
      </w:r>
      <w:proofErr w:type="spellEnd"/>
      <w:r w:rsidR="00BA7266" w:rsidRPr="00BA7266">
        <w:rPr>
          <w:color w:val="000000"/>
        </w:rPr>
        <w:t>-полимеров, сорбентов</w:t>
      </w:r>
      <w:r w:rsidR="008A071F">
        <w:rPr>
          <w:color w:val="000000"/>
        </w:rPr>
        <w:t xml:space="preserve"> </w:t>
      </w:r>
      <w:r w:rsidR="008A071F" w:rsidRPr="008A071F">
        <w:rPr>
          <w:color w:val="000000"/>
        </w:rPr>
        <w:t>[1]</w:t>
      </w:r>
      <w:r w:rsidR="00BA7266" w:rsidRPr="00BA7266">
        <w:rPr>
          <w:color w:val="000000"/>
        </w:rPr>
        <w:t xml:space="preserve">. </w:t>
      </w:r>
      <w:r w:rsidR="00BA7266">
        <w:rPr>
          <w:color w:val="000000"/>
        </w:rPr>
        <w:t>Одним из п</w:t>
      </w:r>
      <w:r w:rsidR="00BA7266" w:rsidRPr="00BA7266">
        <w:rPr>
          <w:color w:val="000000"/>
        </w:rPr>
        <w:t>ерспективны</w:t>
      </w:r>
      <w:r w:rsidR="00BA7266">
        <w:rPr>
          <w:color w:val="000000"/>
        </w:rPr>
        <w:t>х</w:t>
      </w:r>
      <w:r w:rsidR="00BA7266" w:rsidRPr="00BA7266">
        <w:rPr>
          <w:color w:val="000000"/>
        </w:rPr>
        <w:t xml:space="preserve"> направлени</w:t>
      </w:r>
      <w:r w:rsidR="00BA7266">
        <w:rPr>
          <w:color w:val="000000"/>
        </w:rPr>
        <w:t>й</w:t>
      </w:r>
      <w:r w:rsidR="00BA7266" w:rsidRPr="00BA7266">
        <w:rPr>
          <w:color w:val="000000"/>
        </w:rPr>
        <w:t xml:space="preserve"> является разработка </w:t>
      </w:r>
      <w:r w:rsidR="00BA7D99">
        <w:rPr>
          <w:color w:val="000000"/>
        </w:rPr>
        <w:t>механохимических</w:t>
      </w:r>
      <w:r w:rsidR="00BA7266">
        <w:rPr>
          <w:color w:val="000000"/>
        </w:rPr>
        <w:t xml:space="preserve"> </w:t>
      </w:r>
      <w:r w:rsidR="00BA7266" w:rsidRPr="00BA7266">
        <w:rPr>
          <w:color w:val="000000"/>
        </w:rPr>
        <w:t>методов структурного модифицирования гуминовых кислот путем введения в состав их макромолекул новых функциональных фрагментов.</w:t>
      </w:r>
    </w:p>
    <w:p w14:paraId="20CC0E19" w14:textId="7F5950CE" w:rsidR="00425A1B" w:rsidRPr="00293E88" w:rsidRDefault="00BA7D9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A7D99">
        <w:rPr>
          <w:color w:val="000000"/>
        </w:rPr>
        <w:t xml:space="preserve">Целью работы было проведение </w:t>
      </w:r>
      <w:r>
        <w:rPr>
          <w:color w:val="000000"/>
        </w:rPr>
        <w:t>твердофазной</w:t>
      </w:r>
      <w:r w:rsidRPr="00BA7D99">
        <w:rPr>
          <w:color w:val="000000"/>
        </w:rPr>
        <w:t xml:space="preserve"> </w:t>
      </w:r>
      <w:r>
        <w:rPr>
          <w:color w:val="000000"/>
        </w:rPr>
        <w:t>р</w:t>
      </w:r>
      <w:r w:rsidRPr="00BA7D99">
        <w:rPr>
          <w:color w:val="000000"/>
        </w:rPr>
        <w:t xml:space="preserve">еакции </w:t>
      </w:r>
      <w:proofErr w:type="spellStart"/>
      <w:r w:rsidRPr="00BA7D99">
        <w:rPr>
          <w:color w:val="000000"/>
        </w:rPr>
        <w:t>этоксилирования</w:t>
      </w:r>
      <w:proofErr w:type="spellEnd"/>
      <w:r w:rsidRPr="00BA7D99">
        <w:rPr>
          <w:color w:val="000000"/>
        </w:rPr>
        <w:t xml:space="preserve"> и </w:t>
      </w:r>
      <w:proofErr w:type="spellStart"/>
      <w:r w:rsidRPr="00BA7D99">
        <w:rPr>
          <w:color w:val="000000"/>
        </w:rPr>
        <w:t>аминирования</w:t>
      </w:r>
      <w:proofErr w:type="spellEnd"/>
      <w:r w:rsidRPr="00BA7D99">
        <w:rPr>
          <w:color w:val="000000"/>
        </w:rPr>
        <w:t xml:space="preserve"> гуминовых кислот с </w:t>
      </w:r>
      <w:proofErr w:type="spellStart"/>
      <w:r w:rsidRPr="00BA7D99">
        <w:rPr>
          <w:color w:val="000000"/>
        </w:rPr>
        <w:t>полиэтиленгликол</w:t>
      </w:r>
      <w:r>
        <w:rPr>
          <w:color w:val="000000"/>
        </w:rPr>
        <w:t>ем</w:t>
      </w:r>
      <w:proofErr w:type="spellEnd"/>
      <w:r w:rsidRPr="00BA7D99">
        <w:rPr>
          <w:color w:val="000000"/>
        </w:rPr>
        <w:t xml:space="preserve"> (ПЭГ–</w:t>
      </w:r>
      <w:r w:rsidR="00752F2F">
        <w:rPr>
          <w:color w:val="000000"/>
        </w:rPr>
        <w:t>6000</w:t>
      </w:r>
      <w:r w:rsidRPr="00BA7D99">
        <w:rPr>
          <w:color w:val="000000"/>
        </w:rPr>
        <w:t xml:space="preserve">) и </w:t>
      </w:r>
      <w:proofErr w:type="spellStart"/>
      <w:r w:rsidRPr="00BA7D99">
        <w:rPr>
          <w:color w:val="000000"/>
        </w:rPr>
        <w:t>аминирующими</w:t>
      </w:r>
      <w:proofErr w:type="spellEnd"/>
      <w:r w:rsidRPr="00BA7D99">
        <w:rPr>
          <w:color w:val="000000"/>
        </w:rPr>
        <w:t xml:space="preserve"> реагентами (мочевина, </w:t>
      </w:r>
      <w:proofErr w:type="spellStart"/>
      <w:r w:rsidRPr="00BA7D99">
        <w:rPr>
          <w:color w:val="000000"/>
        </w:rPr>
        <w:t>гидроперит</w:t>
      </w:r>
      <w:proofErr w:type="spellEnd"/>
      <w:r w:rsidRPr="00BA7D99">
        <w:rPr>
          <w:color w:val="000000"/>
        </w:rPr>
        <w:t xml:space="preserve">, </w:t>
      </w:r>
      <w:proofErr w:type="spellStart"/>
      <w:r w:rsidRPr="00BA7D99">
        <w:rPr>
          <w:color w:val="000000"/>
        </w:rPr>
        <w:t>циангуанидин</w:t>
      </w:r>
      <w:proofErr w:type="spellEnd"/>
      <w:r w:rsidRPr="00BA7D99">
        <w:rPr>
          <w:color w:val="000000"/>
        </w:rPr>
        <w:t xml:space="preserve">) механохимическим </w:t>
      </w:r>
      <w:r w:rsidR="00A17614">
        <w:rPr>
          <w:color w:val="000000"/>
        </w:rPr>
        <w:t>способом</w:t>
      </w:r>
      <w:r w:rsidRPr="00BA7D99">
        <w:rPr>
          <w:color w:val="000000"/>
        </w:rPr>
        <w:t xml:space="preserve">, исследование продуктов реакции методами динамической </w:t>
      </w:r>
      <w:proofErr w:type="spellStart"/>
      <w:r w:rsidRPr="00BA7D99">
        <w:rPr>
          <w:color w:val="000000"/>
        </w:rPr>
        <w:t>тензиометрии</w:t>
      </w:r>
      <w:proofErr w:type="spellEnd"/>
      <w:r w:rsidRPr="00BA7D99">
        <w:rPr>
          <w:color w:val="000000"/>
        </w:rPr>
        <w:t xml:space="preserve">, </w:t>
      </w:r>
      <w:proofErr w:type="spellStart"/>
      <w:r w:rsidRPr="00BA7D99">
        <w:rPr>
          <w:color w:val="000000"/>
        </w:rPr>
        <w:t>дилатационной</w:t>
      </w:r>
      <w:proofErr w:type="spellEnd"/>
      <w:r w:rsidRPr="00BA7D99">
        <w:rPr>
          <w:color w:val="000000"/>
        </w:rPr>
        <w:t xml:space="preserve"> реологии</w:t>
      </w:r>
      <w:r>
        <w:rPr>
          <w:color w:val="000000"/>
        </w:rPr>
        <w:t xml:space="preserve"> (</w:t>
      </w:r>
      <w:r w:rsidRPr="000A057E">
        <w:rPr>
          <w:color w:val="000000"/>
        </w:rPr>
        <w:t xml:space="preserve">PAT-2P (SINTERFACE </w:t>
      </w:r>
      <w:proofErr w:type="spellStart"/>
      <w:r w:rsidRPr="000A057E">
        <w:rPr>
          <w:color w:val="000000"/>
        </w:rPr>
        <w:t>Technologies</w:t>
      </w:r>
      <w:proofErr w:type="spellEnd"/>
      <w:r w:rsidRPr="000A057E">
        <w:rPr>
          <w:color w:val="000000"/>
        </w:rPr>
        <w:t xml:space="preserve">, </w:t>
      </w:r>
      <w:proofErr w:type="spellStart"/>
      <w:r w:rsidRPr="000A057E">
        <w:rPr>
          <w:color w:val="000000"/>
        </w:rPr>
        <w:t>Germany</w:t>
      </w:r>
      <w:proofErr w:type="spellEnd"/>
      <w:r w:rsidRPr="000A057E">
        <w:rPr>
          <w:color w:val="000000"/>
        </w:rPr>
        <w:t>)</w:t>
      </w:r>
      <w:r>
        <w:rPr>
          <w:color w:val="000000"/>
        </w:rPr>
        <w:t>)</w:t>
      </w:r>
      <w:r w:rsidR="00972ECC">
        <w:rPr>
          <w:color w:val="000000"/>
        </w:rPr>
        <w:t xml:space="preserve">. Для описания свойств поверхностных слоев растворов солей модифицированных гуминовых кислот использовали модель </w:t>
      </w:r>
      <w:r w:rsidR="00972ECC" w:rsidRPr="00972ECC">
        <w:rPr>
          <w:color w:val="000000"/>
        </w:rPr>
        <w:t>бимолекулярной адсорбции</w:t>
      </w:r>
      <w:r w:rsidR="00972ECC">
        <w:rPr>
          <w:color w:val="000000"/>
        </w:rPr>
        <w:t xml:space="preserve">, </w:t>
      </w:r>
      <w:r w:rsidR="00972ECC" w:rsidRPr="00964F64">
        <w:rPr>
          <w:color w:val="000000"/>
        </w:rPr>
        <w:t>разработанн</w:t>
      </w:r>
      <w:r w:rsidR="00752F2F">
        <w:rPr>
          <w:color w:val="000000"/>
        </w:rPr>
        <w:t>ую</w:t>
      </w:r>
      <w:r w:rsidR="00972ECC" w:rsidRPr="00964F64">
        <w:rPr>
          <w:color w:val="000000"/>
        </w:rPr>
        <w:t xml:space="preserve"> для характеристики адсорбционных</w:t>
      </w:r>
      <w:r w:rsidR="008151A9">
        <w:rPr>
          <w:color w:val="000000"/>
        </w:rPr>
        <w:t xml:space="preserve"> свойств растворов белков.</w:t>
      </w:r>
      <w:r>
        <w:rPr>
          <w:color w:val="000000"/>
        </w:rPr>
        <w:t xml:space="preserve"> </w:t>
      </w:r>
      <w:r w:rsidR="008151A9" w:rsidRPr="008151A9">
        <w:rPr>
          <w:color w:val="000000"/>
        </w:rPr>
        <w:t xml:space="preserve">Модель учитывает возможность существования макромолекул в n состояниях </w:t>
      </w:r>
      <w:r w:rsidR="008151A9">
        <w:rPr>
          <w:color w:val="000000"/>
        </w:rPr>
        <w:t xml:space="preserve">с различной молярной площадью </w:t>
      </w:r>
      <w:r w:rsidR="00752F2F">
        <w:rPr>
          <w:color w:val="000000"/>
        </w:rPr>
        <w:t xml:space="preserve">(от </w:t>
      </w:r>
      <w:r w:rsidR="00752F2F" w:rsidRPr="00293E88">
        <w:rPr>
          <w:color w:val="000000"/>
          <w:sz w:val="22"/>
          <w:szCs w:val="22"/>
        </w:rPr>
        <w:t>ω</w:t>
      </w:r>
      <w:r w:rsidR="00752F2F" w:rsidRPr="00293E88">
        <w:rPr>
          <w:color w:val="000000"/>
          <w:sz w:val="22"/>
          <w:szCs w:val="22"/>
          <w:vertAlign w:val="subscript"/>
          <w:lang w:val="en-US"/>
        </w:rPr>
        <w:t>min</w:t>
      </w:r>
      <w:r w:rsidR="00752F2F" w:rsidRPr="008151A9">
        <w:rPr>
          <w:color w:val="000000"/>
        </w:rPr>
        <w:t xml:space="preserve"> </w:t>
      </w:r>
      <w:r w:rsidR="00752F2F">
        <w:rPr>
          <w:color w:val="000000"/>
        </w:rPr>
        <w:t xml:space="preserve">до </w:t>
      </w:r>
      <w:r w:rsidR="00752F2F" w:rsidRPr="00293E88">
        <w:rPr>
          <w:color w:val="000000"/>
          <w:sz w:val="22"/>
          <w:szCs w:val="22"/>
        </w:rPr>
        <w:t>ω</w:t>
      </w:r>
      <w:r w:rsidR="00752F2F" w:rsidRPr="00293E88">
        <w:rPr>
          <w:color w:val="000000"/>
          <w:sz w:val="22"/>
          <w:szCs w:val="22"/>
          <w:vertAlign w:val="subscript"/>
          <w:lang w:val="en-US"/>
        </w:rPr>
        <w:t>max</w:t>
      </w:r>
      <w:r w:rsidR="00752F2F" w:rsidRPr="00752F2F">
        <w:rPr>
          <w:color w:val="000000"/>
          <w:sz w:val="22"/>
          <w:szCs w:val="22"/>
        </w:rPr>
        <w:t>)</w:t>
      </w:r>
      <w:r w:rsidR="00752F2F">
        <w:rPr>
          <w:color w:val="000000"/>
        </w:rPr>
        <w:t xml:space="preserve"> </w:t>
      </w:r>
      <w:r w:rsidR="008151A9" w:rsidRPr="008151A9">
        <w:rPr>
          <w:color w:val="000000"/>
        </w:rPr>
        <w:t>и их способность к агрегации в адсорбционных слоях.</w:t>
      </w:r>
      <w:r w:rsidR="00293E88">
        <w:rPr>
          <w:color w:val="000000"/>
        </w:rPr>
        <w:t xml:space="preserve"> Рассчитанные теоретические параметры с помощью программы </w:t>
      </w:r>
      <w:r w:rsidR="00293E88">
        <w:rPr>
          <w:color w:val="000000"/>
          <w:lang w:val="en-US"/>
        </w:rPr>
        <w:t>ProteinG</w:t>
      </w:r>
      <w:r w:rsidR="00293E88" w:rsidRPr="00293E88">
        <w:rPr>
          <w:color w:val="000000"/>
        </w:rPr>
        <w:t xml:space="preserve"> </w:t>
      </w:r>
      <w:r w:rsidR="00A17614" w:rsidRPr="00A17614">
        <w:rPr>
          <w:color w:val="000000"/>
        </w:rPr>
        <w:t>[</w:t>
      </w:r>
      <w:r w:rsidR="008A071F" w:rsidRPr="008A071F">
        <w:rPr>
          <w:color w:val="000000"/>
        </w:rPr>
        <w:t>2</w:t>
      </w:r>
      <w:r w:rsidR="00A17614" w:rsidRPr="00A17614">
        <w:rPr>
          <w:color w:val="000000"/>
        </w:rPr>
        <w:t xml:space="preserve">] </w:t>
      </w:r>
      <w:r w:rsidR="00293E88">
        <w:rPr>
          <w:color w:val="000000"/>
        </w:rPr>
        <w:t>приведены в таблице 1.</w:t>
      </w:r>
    </w:p>
    <w:p w14:paraId="10FECD57" w14:textId="780CF6CE" w:rsidR="008151A9" w:rsidRPr="008151A9" w:rsidRDefault="008151A9" w:rsidP="00293E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</w:rPr>
      </w:pPr>
      <w:r w:rsidRPr="008151A9">
        <w:rPr>
          <w:color w:val="000000"/>
        </w:rPr>
        <w:t xml:space="preserve">Таблица </w:t>
      </w:r>
      <w:r w:rsidR="00293E88">
        <w:rPr>
          <w:color w:val="000000"/>
        </w:rPr>
        <w:t>1</w:t>
      </w:r>
      <w:r w:rsidRPr="008151A9">
        <w:rPr>
          <w:color w:val="000000"/>
        </w:rPr>
        <w:t>. Параметры модели полимолекулярной адсорбции для натриевых солей</w:t>
      </w:r>
      <w:r w:rsidR="00752F2F">
        <w:rPr>
          <w:color w:val="000000"/>
        </w:rPr>
        <w:t xml:space="preserve"> </w:t>
      </w:r>
      <w:r w:rsidRPr="008151A9">
        <w:rPr>
          <w:color w:val="000000"/>
        </w:rPr>
        <w:t>гуминовых кислот</w:t>
      </w:r>
    </w:p>
    <w:tbl>
      <w:tblPr>
        <w:tblStyle w:val="aa"/>
        <w:tblW w:w="8388" w:type="dxa"/>
        <w:jc w:val="center"/>
        <w:tblLayout w:type="fixed"/>
        <w:tblLook w:val="04A0" w:firstRow="1" w:lastRow="0" w:firstColumn="1" w:lastColumn="0" w:noHBand="0" w:noVBand="1"/>
      </w:tblPr>
      <w:tblGrid>
        <w:gridCol w:w="2740"/>
        <w:gridCol w:w="1240"/>
        <w:gridCol w:w="1240"/>
        <w:gridCol w:w="1240"/>
        <w:gridCol w:w="1241"/>
        <w:gridCol w:w="687"/>
      </w:tblGrid>
      <w:tr w:rsidR="008A071F" w:rsidRPr="00A17614" w14:paraId="63142CA7" w14:textId="77777777" w:rsidTr="008A071F">
        <w:trPr>
          <w:jc w:val="center"/>
        </w:trPr>
        <w:tc>
          <w:tcPr>
            <w:tcW w:w="2740" w:type="dxa"/>
            <w:vAlign w:val="center"/>
          </w:tcPr>
          <w:p w14:paraId="2FB70018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Образец</w:t>
            </w:r>
          </w:p>
        </w:tc>
        <w:tc>
          <w:tcPr>
            <w:tcW w:w="1240" w:type="dxa"/>
            <w:vAlign w:val="center"/>
          </w:tcPr>
          <w:p w14:paraId="1A8B5A6F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ω</w:t>
            </w:r>
            <w:r w:rsidRPr="00A17614">
              <w:rPr>
                <w:color w:val="000000"/>
                <w:vertAlign w:val="subscript"/>
              </w:rPr>
              <w:t>0</w:t>
            </w:r>
            <w:r w:rsidRPr="00A17614">
              <w:rPr>
                <w:color w:val="000000"/>
              </w:rPr>
              <w:t>∙10</w:t>
            </w:r>
            <w:r w:rsidRPr="00A17614">
              <w:rPr>
                <w:color w:val="000000"/>
                <w:vertAlign w:val="superscript"/>
              </w:rPr>
              <w:t>5</w:t>
            </w:r>
          </w:p>
          <w:p w14:paraId="6F191343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м</w:t>
            </w:r>
            <w:r w:rsidRPr="00A17614">
              <w:rPr>
                <w:color w:val="000000"/>
                <w:vertAlign w:val="superscript"/>
              </w:rPr>
              <w:t>2</w:t>
            </w:r>
            <w:r w:rsidRPr="00A17614">
              <w:rPr>
                <w:color w:val="000000"/>
              </w:rPr>
              <w:t>/моль</w:t>
            </w:r>
          </w:p>
        </w:tc>
        <w:tc>
          <w:tcPr>
            <w:tcW w:w="1240" w:type="dxa"/>
            <w:vAlign w:val="center"/>
          </w:tcPr>
          <w:p w14:paraId="3004E15C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ω</w:t>
            </w:r>
            <w:r w:rsidRPr="00A17614">
              <w:rPr>
                <w:color w:val="000000"/>
                <w:vertAlign w:val="subscript"/>
                <w:lang w:val="en-US"/>
              </w:rPr>
              <w:t>min</w:t>
            </w:r>
            <w:r w:rsidRPr="00A17614">
              <w:rPr>
                <w:color w:val="000000"/>
                <w:lang w:val="en-US"/>
              </w:rPr>
              <w:t>∙10</w:t>
            </w:r>
            <w:r w:rsidRPr="00A17614">
              <w:rPr>
                <w:color w:val="000000"/>
                <w:vertAlign w:val="superscript"/>
              </w:rPr>
              <w:t>6</w:t>
            </w:r>
          </w:p>
          <w:p w14:paraId="46464F2D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A17614">
              <w:rPr>
                <w:color w:val="000000"/>
              </w:rPr>
              <w:t>м</w:t>
            </w:r>
            <w:r w:rsidRPr="00A17614">
              <w:rPr>
                <w:color w:val="000000"/>
                <w:vertAlign w:val="superscript"/>
                <w:lang w:val="en-US"/>
              </w:rPr>
              <w:t>2</w:t>
            </w:r>
            <w:r w:rsidRPr="00A17614">
              <w:rPr>
                <w:color w:val="000000"/>
                <w:lang w:val="en-US"/>
              </w:rPr>
              <w:t>/</w:t>
            </w:r>
            <w:r w:rsidRPr="00A17614">
              <w:rPr>
                <w:color w:val="000000"/>
              </w:rPr>
              <w:t>моль</w:t>
            </w:r>
          </w:p>
        </w:tc>
        <w:tc>
          <w:tcPr>
            <w:tcW w:w="1240" w:type="dxa"/>
            <w:vAlign w:val="center"/>
          </w:tcPr>
          <w:p w14:paraId="12585980" w14:textId="3BFA0EDF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A17614">
              <w:rPr>
                <w:color w:val="000000"/>
              </w:rPr>
              <w:t>ω</w:t>
            </w:r>
            <w:r w:rsidRPr="00A17614">
              <w:rPr>
                <w:color w:val="000000"/>
                <w:vertAlign w:val="subscript"/>
                <w:lang w:val="en-US"/>
              </w:rPr>
              <w:t>max</w:t>
            </w:r>
            <w:r w:rsidRPr="00A17614">
              <w:rPr>
                <w:color w:val="000000"/>
                <w:lang w:val="en-US"/>
              </w:rPr>
              <w:t>∙10</w:t>
            </w:r>
            <w:r w:rsidRPr="00A17614">
              <w:rPr>
                <w:color w:val="000000"/>
                <w:vertAlign w:val="superscript"/>
              </w:rPr>
              <w:t xml:space="preserve">6 </w:t>
            </w:r>
            <w:r w:rsidRPr="00A17614">
              <w:rPr>
                <w:color w:val="000000"/>
              </w:rPr>
              <w:t>м</w:t>
            </w:r>
            <w:r w:rsidRPr="00A17614">
              <w:rPr>
                <w:color w:val="000000"/>
                <w:vertAlign w:val="superscript"/>
                <w:lang w:val="en-US"/>
              </w:rPr>
              <w:t>2</w:t>
            </w:r>
            <w:r w:rsidRPr="00A17614">
              <w:rPr>
                <w:color w:val="000000"/>
                <w:lang w:val="en-US"/>
              </w:rPr>
              <w:t>/</w:t>
            </w:r>
            <w:r w:rsidRPr="00A17614">
              <w:rPr>
                <w:color w:val="000000"/>
              </w:rPr>
              <w:t>моль</w:t>
            </w:r>
          </w:p>
        </w:tc>
        <w:tc>
          <w:tcPr>
            <w:tcW w:w="1241" w:type="dxa"/>
            <w:vAlign w:val="center"/>
          </w:tcPr>
          <w:p w14:paraId="3C0306AE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A17614">
              <w:rPr>
                <w:color w:val="000000"/>
              </w:rPr>
              <w:t>ω</w:t>
            </w:r>
            <w:r w:rsidRPr="00A17614">
              <w:rPr>
                <w:color w:val="000000"/>
                <w:vertAlign w:val="subscript"/>
                <w:lang w:val="en-US"/>
              </w:rPr>
              <w:t>max</w:t>
            </w:r>
            <w:r w:rsidRPr="00A17614">
              <w:rPr>
                <w:color w:val="000000"/>
                <w:lang w:val="en-US"/>
              </w:rPr>
              <w:t>/</w:t>
            </w:r>
            <w:r w:rsidRPr="00A17614">
              <w:rPr>
                <w:color w:val="000000"/>
              </w:rPr>
              <w:t>ω</w:t>
            </w:r>
            <w:r w:rsidRPr="00A17614">
              <w:rPr>
                <w:color w:val="000000"/>
                <w:vertAlign w:val="subscript"/>
                <w:lang w:val="en-US"/>
              </w:rPr>
              <w:t>min</w:t>
            </w:r>
          </w:p>
        </w:tc>
        <w:tc>
          <w:tcPr>
            <w:tcW w:w="687" w:type="dxa"/>
            <w:vAlign w:val="center"/>
          </w:tcPr>
          <w:p w14:paraId="10AAB05E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A17614">
              <w:rPr>
                <w:color w:val="000000"/>
                <w:lang w:val="en-US"/>
              </w:rPr>
              <w:t>n</w:t>
            </w:r>
          </w:p>
        </w:tc>
      </w:tr>
      <w:tr w:rsidR="008A071F" w:rsidRPr="00A17614" w14:paraId="42F5579F" w14:textId="77777777" w:rsidTr="008A071F">
        <w:trPr>
          <w:trHeight w:val="227"/>
          <w:jc w:val="center"/>
        </w:trPr>
        <w:tc>
          <w:tcPr>
            <w:tcW w:w="2740" w:type="dxa"/>
          </w:tcPr>
          <w:p w14:paraId="18020100" w14:textId="07B7ACEA" w:rsidR="008A071F" w:rsidRPr="00A17614" w:rsidRDefault="008A071F" w:rsidP="0075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lang w:val="en-US"/>
              </w:rPr>
            </w:pPr>
            <w:proofErr w:type="spellStart"/>
            <w:r w:rsidRPr="00A17614">
              <w:rPr>
                <w:color w:val="000000"/>
              </w:rPr>
              <w:t>ГН</w:t>
            </w:r>
            <w:r w:rsidRPr="00A17614">
              <w:rPr>
                <w:color w:val="000000"/>
                <w:vertAlign w:val="subscript"/>
              </w:rPr>
              <w:t>исх</w:t>
            </w:r>
            <w:proofErr w:type="spellEnd"/>
            <w:r w:rsidRPr="00A17614">
              <w:rPr>
                <w:color w:val="000000"/>
                <w:vertAlign w:val="subscript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14:paraId="1FED19EB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3.0</w:t>
            </w:r>
          </w:p>
        </w:tc>
        <w:tc>
          <w:tcPr>
            <w:tcW w:w="1240" w:type="dxa"/>
            <w:vAlign w:val="center"/>
          </w:tcPr>
          <w:p w14:paraId="660819B2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2.5</w:t>
            </w:r>
          </w:p>
        </w:tc>
        <w:tc>
          <w:tcPr>
            <w:tcW w:w="1240" w:type="dxa"/>
            <w:vAlign w:val="center"/>
          </w:tcPr>
          <w:p w14:paraId="5FCEACE3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10</w:t>
            </w:r>
          </w:p>
        </w:tc>
        <w:tc>
          <w:tcPr>
            <w:tcW w:w="1241" w:type="dxa"/>
            <w:vAlign w:val="center"/>
          </w:tcPr>
          <w:p w14:paraId="16CB5789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4.0</w:t>
            </w:r>
          </w:p>
        </w:tc>
        <w:tc>
          <w:tcPr>
            <w:tcW w:w="687" w:type="dxa"/>
            <w:vAlign w:val="center"/>
          </w:tcPr>
          <w:p w14:paraId="11E9D8CC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26</w:t>
            </w:r>
          </w:p>
        </w:tc>
      </w:tr>
      <w:tr w:rsidR="008A071F" w:rsidRPr="00A17614" w14:paraId="1F23C9E3" w14:textId="77777777" w:rsidTr="008A071F">
        <w:trPr>
          <w:trHeight w:val="227"/>
          <w:jc w:val="center"/>
        </w:trPr>
        <w:tc>
          <w:tcPr>
            <w:tcW w:w="2740" w:type="dxa"/>
          </w:tcPr>
          <w:p w14:paraId="592F49B9" w14:textId="384D3FFF" w:rsidR="008A071F" w:rsidRPr="00A17614" w:rsidRDefault="008A071F" w:rsidP="00752F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vertAlign w:val="subscript"/>
                <w:lang w:val="en-US"/>
              </w:rPr>
            </w:pPr>
            <w:r w:rsidRPr="00A17614">
              <w:rPr>
                <w:color w:val="000000"/>
              </w:rPr>
              <w:t>ГН</w:t>
            </w:r>
            <w:r w:rsidRPr="00A17614">
              <w:rPr>
                <w:color w:val="000000"/>
                <w:vertAlign w:val="subscript"/>
              </w:rPr>
              <w:t>ГК+ПЭГ-6000</w:t>
            </w:r>
            <w:r w:rsidRPr="00A17614">
              <w:rPr>
                <w:color w:val="000000"/>
                <w:vertAlign w:val="subscript"/>
                <w:lang w:val="en-US"/>
              </w:rPr>
              <w:t xml:space="preserve"> </w:t>
            </w:r>
          </w:p>
        </w:tc>
        <w:tc>
          <w:tcPr>
            <w:tcW w:w="1240" w:type="dxa"/>
            <w:vAlign w:val="center"/>
          </w:tcPr>
          <w:p w14:paraId="062C2BAE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5.0</w:t>
            </w:r>
          </w:p>
        </w:tc>
        <w:tc>
          <w:tcPr>
            <w:tcW w:w="1240" w:type="dxa"/>
            <w:vAlign w:val="center"/>
          </w:tcPr>
          <w:p w14:paraId="67947425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4.0</w:t>
            </w:r>
          </w:p>
        </w:tc>
        <w:tc>
          <w:tcPr>
            <w:tcW w:w="1240" w:type="dxa"/>
            <w:vAlign w:val="center"/>
          </w:tcPr>
          <w:p w14:paraId="4538A9A6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10</w:t>
            </w:r>
          </w:p>
        </w:tc>
        <w:tc>
          <w:tcPr>
            <w:tcW w:w="1241" w:type="dxa"/>
            <w:vAlign w:val="center"/>
          </w:tcPr>
          <w:p w14:paraId="29D128F6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2.5</w:t>
            </w:r>
          </w:p>
        </w:tc>
        <w:tc>
          <w:tcPr>
            <w:tcW w:w="687" w:type="dxa"/>
            <w:vAlign w:val="center"/>
          </w:tcPr>
          <w:p w14:paraId="581D2F2C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13</w:t>
            </w:r>
          </w:p>
        </w:tc>
      </w:tr>
      <w:tr w:rsidR="008A071F" w:rsidRPr="00A17614" w14:paraId="34428BED" w14:textId="77777777" w:rsidTr="008A071F">
        <w:trPr>
          <w:trHeight w:val="227"/>
          <w:jc w:val="center"/>
        </w:trPr>
        <w:tc>
          <w:tcPr>
            <w:tcW w:w="2740" w:type="dxa"/>
          </w:tcPr>
          <w:p w14:paraId="3B04D452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A17614">
              <w:rPr>
                <w:color w:val="000000"/>
              </w:rPr>
              <w:t>ГН</w:t>
            </w:r>
            <w:r w:rsidRPr="00A17614">
              <w:rPr>
                <w:color w:val="000000"/>
                <w:vertAlign w:val="subscript"/>
              </w:rPr>
              <w:t>ГК + мочевина</w:t>
            </w:r>
          </w:p>
        </w:tc>
        <w:tc>
          <w:tcPr>
            <w:tcW w:w="1240" w:type="dxa"/>
            <w:vAlign w:val="center"/>
          </w:tcPr>
          <w:p w14:paraId="435212E0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  <w:lang w:val="en-US"/>
              </w:rPr>
              <w:t>6</w:t>
            </w:r>
            <w:r w:rsidRPr="00A17614">
              <w:rPr>
                <w:color w:val="000000"/>
              </w:rPr>
              <w:t>.76</w:t>
            </w:r>
          </w:p>
        </w:tc>
        <w:tc>
          <w:tcPr>
            <w:tcW w:w="1240" w:type="dxa"/>
            <w:vAlign w:val="center"/>
          </w:tcPr>
          <w:p w14:paraId="3EAAE0FC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3.94</w:t>
            </w:r>
          </w:p>
        </w:tc>
        <w:tc>
          <w:tcPr>
            <w:tcW w:w="1240" w:type="dxa"/>
            <w:vAlign w:val="center"/>
          </w:tcPr>
          <w:p w14:paraId="3C85F392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10</w:t>
            </w:r>
          </w:p>
        </w:tc>
        <w:tc>
          <w:tcPr>
            <w:tcW w:w="1241" w:type="dxa"/>
            <w:vAlign w:val="center"/>
          </w:tcPr>
          <w:p w14:paraId="79DE0193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2.45</w:t>
            </w:r>
          </w:p>
        </w:tc>
        <w:tc>
          <w:tcPr>
            <w:tcW w:w="687" w:type="dxa"/>
            <w:vAlign w:val="center"/>
          </w:tcPr>
          <w:p w14:paraId="54EF66ED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17</w:t>
            </w:r>
          </w:p>
        </w:tc>
      </w:tr>
      <w:tr w:rsidR="008A071F" w:rsidRPr="00A17614" w14:paraId="2635EF37" w14:textId="77777777" w:rsidTr="008A071F">
        <w:trPr>
          <w:trHeight w:val="227"/>
          <w:jc w:val="center"/>
        </w:trPr>
        <w:tc>
          <w:tcPr>
            <w:tcW w:w="2740" w:type="dxa"/>
          </w:tcPr>
          <w:p w14:paraId="77FED4D7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vertAlign w:val="subscript"/>
              </w:rPr>
            </w:pPr>
            <w:r w:rsidRPr="00A17614">
              <w:rPr>
                <w:color w:val="000000"/>
              </w:rPr>
              <w:t>ГН</w:t>
            </w:r>
            <w:r w:rsidRPr="00A17614">
              <w:rPr>
                <w:color w:val="000000"/>
                <w:vertAlign w:val="subscript"/>
              </w:rPr>
              <w:t xml:space="preserve">ГК+ </w:t>
            </w:r>
            <w:proofErr w:type="spellStart"/>
            <w:r w:rsidRPr="00A17614">
              <w:rPr>
                <w:color w:val="000000"/>
                <w:vertAlign w:val="subscript"/>
              </w:rPr>
              <w:t>циангуанидин</w:t>
            </w:r>
            <w:proofErr w:type="spellEnd"/>
          </w:p>
        </w:tc>
        <w:tc>
          <w:tcPr>
            <w:tcW w:w="1240" w:type="dxa"/>
            <w:vAlign w:val="center"/>
          </w:tcPr>
          <w:p w14:paraId="063842D5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5.43</w:t>
            </w:r>
          </w:p>
        </w:tc>
        <w:tc>
          <w:tcPr>
            <w:tcW w:w="1240" w:type="dxa"/>
            <w:vAlign w:val="center"/>
          </w:tcPr>
          <w:p w14:paraId="37688945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5.44</w:t>
            </w:r>
          </w:p>
        </w:tc>
        <w:tc>
          <w:tcPr>
            <w:tcW w:w="1240" w:type="dxa"/>
            <w:vAlign w:val="center"/>
          </w:tcPr>
          <w:p w14:paraId="4066F621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10</w:t>
            </w:r>
          </w:p>
        </w:tc>
        <w:tc>
          <w:tcPr>
            <w:tcW w:w="1241" w:type="dxa"/>
            <w:vAlign w:val="center"/>
          </w:tcPr>
          <w:p w14:paraId="48FD3691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1.86</w:t>
            </w:r>
          </w:p>
        </w:tc>
        <w:tc>
          <w:tcPr>
            <w:tcW w:w="687" w:type="dxa"/>
            <w:vAlign w:val="center"/>
          </w:tcPr>
          <w:p w14:paraId="352325B4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10</w:t>
            </w:r>
          </w:p>
        </w:tc>
      </w:tr>
      <w:tr w:rsidR="008A071F" w:rsidRPr="00A17614" w14:paraId="3C19DAED" w14:textId="77777777" w:rsidTr="008A071F">
        <w:trPr>
          <w:trHeight w:val="227"/>
          <w:jc w:val="center"/>
        </w:trPr>
        <w:tc>
          <w:tcPr>
            <w:tcW w:w="2740" w:type="dxa"/>
          </w:tcPr>
          <w:p w14:paraId="7E26C580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  <w:vertAlign w:val="subscript"/>
              </w:rPr>
            </w:pPr>
            <w:r w:rsidRPr="00A17614">
              <w:rPr>
                <w:color w:val="000000"/>
              </w:rPr>
              <w:t>ГН</w:t>
            </w:r>
            <w:r w:rsidRPr="00A17614">
              <w:rPr>
                <w:color w:val="000000"/>
                <w:vertAlign w:val="subscript"/>
              </w:rPr>
              <w:t>ГК+ПЭГ-6000+мочевина</w:t>
            </w:r>
          </w:p>
        </w:tc>
        <w:tc>
          <w:tcPr>
            <w:tcW w:w="1240" w:type="dxa"/>
            <w:vAlign w:val="center"/>
          </w:tcPr>
          <w:p w14:paraId="3073CC5E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A17614">
              <w:rPr>
                <w:color w:val="000000"/>
                <w:lang w:val="en-US"/>
              </w:rPr>
              <w:t>5</w:t>
            </w:r>
            <w:r w:rsidRPr="00A17614">
              <w:rPr>
                <w:color w:val="000000"/>
              </w:rPr>
              <w:t>.</w:t>
            </w:r>
            <w:r w:rsidRPr="00A17614">
              <w:rPr>
                <w:color w:val="000000"/>
                <w:lang w:val="en-US"/>
              </w:rPr>
              <w:t>57</w:t>
            </w:r>
          </w:p>
        </w:tc>
        <w:tc>
          <w:tcPr>
            <w:tcW w:w="1240" w:type="dxa"/>
            <w:vAlign w:val="center"/>
          </w:tcPr>
          <w:p w14:paraId="6573F834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A17614">
              <w:rPr>
                <w:color w:val="000000"/>
                <w:lang w:val="en-US"/>
              </w:rPr>
              <w:t>2</w:t>
            </w:r>
            <w:r w:rsidRPr="00A17614">
              <w:rPr>
                <w:color w:val="000000"/>
              </w:rPr>
              <w:t>.</w:t>
            </w:r>
            <w:r w:rsidRPr="00A17614">
              <w:rPr>
                <w:color w:val="000000"/>
                <w:lang w:val="en-US"/>
              </w:rPr>
              <w:t>9</w:t>
            </w:r>
          </w:p>
        </w:tc>
        <w:tc>
          <w:tcPr>
            <w:tcW w:w="1240" w:type="dxa"/>
            <w:vAlign w:val="center"/>
          </w:tcPr>
          <w:p w14:paraId="2D05DCBA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A17614">
              <w:rPr>
                <w:color w:val="000000"/>
                <w:lang w:val="en-US"/>
              </w:rPr>
              <w:t>28</w:t>
            </w:r>
          </w:p>
        </w:tc>
        <w:tc>
          <w:tcPr>
            <w:tcW w:w="1241" w:type="dxa"/>
            <w:vAlign w:val="center"/>
          </w:tcPr>
          <w:p w14:paraId="54F18C62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A17614">
              <w:rPr>
                <w:color w:val="000000"/>
                <w:lang w:val="en-US"/>
              </w:rPr>
              <w:t>9</w:t>
            </w:r>
            <w:r w:rsidRPr="00A17614">
              <w:rPr>
                <w:color w:val="000000"/>
              </w:rPr>
              <w:t>.</w:t>
            </w:r>
            <w:r w:rsidRPr="00A17614">
              <w:rPr>
                <w:color w:val="000000"/>
                <w:lang w:val="en-US"/>
              </w:rPr>
              <w:t>6</w:t>
            </w:r>
          </w:p>
        </w:tc>
        <w:tc>
          <w:tcPr>
            <w:tcW w:w="687" w:type="dxa"/>
            <w:vAlign w:val="center"/>
          </w:tcPr>
          <w:p w14:paraId="51A36A03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A17614">
              <w:rPr>
                <w:color w:val="000000"/>
                <w:lang w:val="en-US"/>
              </w:rPr>
              <w:t>46</w:t>
            </w:r>
          </w:p>
        </w:tc>
      </w:tr>
      <w:tr w:rsidR="008A071F" w:rsidRPr="00A17614" w14:paraId="398CC873" w14:textId="77777777" w:rsidTr="008A071F">
        <w:trPr>
          <w:trHeight w:val="227"/>
          <w:jc w:val="center"/>
        </w:trPr>
        <w:tc>
          <w:tcPr>
            <w:tcW w:w="2740" w:type="dxa"/>
          </w:tcPr>
          <w:p w14:paraId="46F09B2D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both"/>
              <w:rPr>
                <w:color w:val="000000"/>
              </w:rPr>
            </w:pPr>
            <w:r w:rsidRPr="00A17614">
              <w:rPr>
                <w:color w:val="000000"/>
              </w:rPr>
              <w:t>ГН</w:t>
            </w:r>
            <w:r w:rsidRPr="00A17614">
              <w:rPr>
                <w:color w:val="000000"/>
                <w:vertAlign w:val="subscript"/>
              </w:rPr>
              <w:t>ГК+ПЭГ-6000 +</w:t>
            </w:r>
            <w:proofErr w:type="spellStart"/>
            <w:r w:rsidRPr="00A17614">
              <w:rPr>
                <w:color w:val="000000"/>
                <w:vertAlign w:val="subscript"/>
              </w:rPr>
              <w:t>циангуанидин</w:t>
            </w:r>
            <w:proofErr w:type="spellEnd"/>
          </w:p>
        </w:tc>
        <w:tc>
          <w:tcPr>
            <w:tcW w:w="1240" w:type="dxa"/>
            <w:vAlign w:val="center"/>
          </w:tcPr>
          <w:p w14:paraId="177DE877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5.91</w:t>
            </w:r>
          </w:p>
        </w:tc>
        <w:tc>
          <w:tcPr>
            <w:tcW w:w="1240" w:type="dxa"/>
            <w:vAlign w:val="center"/>
          </w:tcPr>
          <w:p w14:paraId="544BCBE9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4.89</w:t>
            </w:r>
          </w:p>
        </w:tc>
        <w:tc>
          <w:tcPr>
            <w:tcW w:w="1240" w:type="dxa"/>
            <w:vAlign w:val="center"/>
          </w:tcPr>
          <w:p w14:paraId="7ADA89B3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40</w:t>
            </w:r>
          </w:p>
        </w:tc>
        <w:tc>
          <w:tcPr>
            <w:tcW w:w="1241" w:type="dxa"/>
            <w:vAlign w:val="center"/>
          </w:tcPr>
          <w:p w14:paraId="2CE192FC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8.17</w:t>
            </w:r>
          </w:p>
        </w:tc>
        <w:tc>
          <w:tcPr>
            <w:tcW w:w="687" w:type="dxa"/>
            <w:vAlign w:val="center"/>
          </w:tcPr>
          <w:p w14:paraId="64D0AA3B" w14:textId="77777777" w:rsidR="008A071F" w:rsidRPr="00A17614" w:rsidRDefault="008A071F" w:rsidP="00293E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color w:val="000000"/>
              </w:rPr>
            </w:pPr>
            <w:r w:rsidRPr="00A17614">
              <w:rPr>
                <w:color w:val="000000"/>
              </w:rPr>
              <w:t>60</w:t>
            </w:r>
          </w:p>
        </w:tc>
      </w:tr>
    </w:tbl>
    <w:p w14:paraId="1419CC52" w14:textId="05978853" w:rsidR="00E47EAE" w:rsidRDefault="00E47EAE" w:rsidP="002E1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Согласно расчётам, вероятное</w:t>
      </w:r>
      <w:r w:rsidRPr="00E47EAE">
        <w:rPr>
          <w:color w:val="000000"/>
        </w:rPr>
        <w:t xml:space="preserve"> количество состояний n, рассчитанное по модели бимолекулярной адсорбции, которое могут принимать макромолекулы солей </w:t>
      </w:r>
      <w:proofErr w:type="spellStart"/>
      <w:r w:rsidRPr="00E47EAE">
        <w:rPr>
          <w:color w:val="000000"/>
        </w:rPr>
        <w:t>этоксиаминогуминовых</w:t>
      </w:r>
      <w:proofErr w:type="spellEnd"/>
      <w:r w:rsidRPr="00E47EAE">
        <w:rPr>
          <w:color w:val="000000"/>
        </w:rPr>
        <w:t xml:space="preserve"> кислот в поверхностном слое, больше, чем для образцов </w:t>
      </w:r>
      <w:proofErr w:type="spellStart"/>
      <w:r w:rsidRPr="00E47EAE">
        <w:rPr>
          <w:color w:val="000000"/>
        </w:rPr>
        <w:t>ГН</w:t>
      </w:r>
      <w:r w:rsidRPr="00E47EAE">
        <w:rPr>
          <w:color w:val="000000"/>
          <w:vertAlign w:val="subscript"/>
        </w:rPr>
        <w:t>исх</w:t>
      </w:r>
      <w:proofErr w:type="spellEnd"/>
      <w:r w:rsidRPr="00E47EAE">
        <w:rPr>
          <w:color w:val="000000"/>
        </w:rPr>
        <w:t xml:space="preserve"> и для </w:t>
      </w:r>
      <w:proofErr w:type="spellStart"/>
      <w:r w:rsidRPr="00E47EAE">
        <w:rPr>
          <w:color w:val="000000"/>
        </w:rPr>
        <w:t>двухфункциональных</w:t>
      </w:r>
      <w:proofErr w:type="spellEnd"/>
      <w:r w:rsidRPr="00E47EAE">
        <w:rPr>
          <w:color w:val="000000"/>
        </w:rPr>
        <w:t xml:space="preserve"> </w:t>
      </w:r>
      <w:proofErr w:type="spellStart"/>
      <w:r w:rsidRPr="00E47EAE">
        <w:rPr>
          <w:color w:val="000000"/>
        </w:rPr>
        <w:t>гуматов</w:t>
      </w:r>
      <w:proofErr w:type="spellEnd"/>
      <w:r w:rsidRPr="00E47EAE">
        <w:rPr>
          <w:color w:val="000000"/>
        </w:rPr>
        <w:t xml:space="preserve"> натрия</w:t>
      </w:r>
      <w:r>
        <w:rPr>
          <w:color w:val="000000"/>
        </w:rPr>
        <w:t>, что</w:t>
      </w:r>
      <w:r w:rsidRPr="00E47EAE">
        <w:rPr>
          <w:color w:val="000000"/>
        </w:rPr>
        <w:t xml:space="preserve"> характерн</w:t>
      </w:r>
      <w:r>
        <w:rPr>
          <w:color w:val="000000"/>
        </w:rPr>
        <w:t>о</w:t>
      </w:r>
      <w:r w:rsidRPr="00E47EAE">
        <w:rPr>
          <w:color w:val="000000"/>
        </w:rPr>
        <w:t xml:space="preserve"> для </w:t>
      </w:r>
      <w:proofErr w:type="spellStart"/>
      <w:r w:rsidRPr="00E47EAE">
        <w:rPr>
          <w:color w:val="000000"/>
        </w:rPr>
        <w:t>гибкоцепных</w:t>
      </w:r>
      <w:proofErr w:type="spellEnd"/>
      <w:r w:rsidRPr="00E47EAE">
        <w:rPr>
          <w:color w:val="000000"/>
        </w:rPr>
        <w:t xml:space="preserve"> белковых макромолекул, которые способны существенно изменять молярную площадь на межфазных границах. </w:t>
      </w:r>
      <w:r>
        <w:rPr>
          <w:color w:val="000000"/>
        </w:rPr>
        <w:t>Кроме того, в</w:t>
      </w:r>
      <w:r w:rsidRPr="00E47EAE">
        <w:rPr>
          <w:color w:val="000000"/>
        </w:rPr>
        <w:t xml:space="preserve">еличины </w:t>
      </w:r>
      <w:proofErr w:type="spellStart"/>
      <w:r w:rsidRPr="00E47EAE">
        <w:rPr>
          <w:color w:val="000000"/>
        </w:rPr>
        <w:t>ω</w:t>
      </w:r>
      <w:r w:rsidRPr="00E47EAE">
        <w:rPr>
          <w:color w:val="000000"/>
          <w:vertAlign w:val="subscript"/>
        </w:rPr>
        <w:t>max</w:t>
      </w:r>
      <w:proofErr w:type="spellEnd"/>
      <w:r w:rsidRPr="00E47EAE">
        <w:rPr>
          <w:color w:val="000000"/>
        </w:rPr>
        <w:t>/</w:t>
      </w:r>
      <w:proofErr w:type="spellStart"/>
      <w:r w:rsidRPr="00E47EAE">
        <w:rPr>
          <w:color w:val="000000"/>
        </w:rPr>
        <w:t>ω</w:t>
      </w:r>
      <w:r w:rsidRPr="00E47EAE">
        <w:rPr>
          <w:color w:val="000000"/>
          <w:vertAlign w:val="subscript"/>
        </w:rPr>
        <w:t>min</w:t>
      </w:r>
      <w:proofErr w:type="spellEnd"/>
      <w:r w:rsidRPr="00E47EAE">
        <w:rPr>
          <w:color w:val="000000"/>
        </w:rPr>
        <w:t xml:space="preserve"> для солей </w:t>
      </w:r>
      <w:proofErr w:type="spellStart"/>
      <w:r w:rsidRPr="00E47EAE">
        <w:rPr>
          <w:color w:val="000000"/>
        </w:rPr>
        <w:t>этоксиаминогуминовых</w:t>
      </w:r>
      <w:proofErr w:type="spellEnd"/>
      <w:r w:rsidRPr="00E47EAE">
        <w:rPr>
          <w:color w:val="000000"/>
        </w:rPr>
        <w:t xml:space="preserve"> кислот, на</w:t>
      </w:r>
      <w:r>
        <w:rPr>
          <w:color w:val="000000"/>
        </w:rPr>
        <w:t xml:space="preserve">ходятся в диапазоне, близком к </w:t>
      </w:r>
      <w:r w:rsidRPr="00E47EAE">
        <w:rPr>
          <w:color w:val="000000"/>
        </w:rPr>
        <w:t xml:space="preserve">величине, характерной для </w:t>
      </w:r>
      <w:proofErr w:type="spellStart"/>
      <w:r w:rsidRPr="00E47EAE">
        <w:rPr>
          <w:color w:val="000000"/>
        </w:rPr>
        <w:t>гибкоцепного</w:t>
      </w:r>
      <w:proofErr w:type="spellEnd"/>
      <w:r w:rsidRPr="00E47EAE">
        <w:rPr>
          <w:color w:val="000000"/>
        </w:rPr>
        <w:t xml:space="preserve"> β-казеина </w:t>
      </w:r>
      <w:r>
        <w:rPr>
          <w:color w:val="000000"/>
        </w:rPr>
        <w:t>(</w:t>
      </w:r>
      <w:proofErr w:type="spellStart"/>
      <w:r w:rsidRPr="00E47EAE">
        <w:rPr>
          <w:color w:val="000000"/>
        </w:rPr>
        <w:t>ω</w:t>
      </w:r>
      <w:r w:rsidRPr="00E47EAE">
        <w:rPr>
          <w:color w:val="000000"/>
          <w:vertAlign w:val="subscript"/>
        </w:rPr>
        <w:t>max</w:t>
      </w:r>
      <w:proofErr w:type="spellEnd"/>
      <w:r w:rsidRPr="00E47EAE">
        <w:rPr>
          <w:color w:val="000000"/>
        </w:rPr>
        <w:t>/</w:t>
      </w:r>
      <w:proofErr w:type="spellStart"/>
      <w:r w:rsidRPr="00E47EAE">
        <w:rPr>
          <w:color w:val="000000"/>
        </w:rPr>
        <w:t>ω</w:t>
      </w:r>
      <w:r w:rsidRPr="00E47EAE">
        <w:rPr>
          <w:color w:val="000000"/>
          <w:vertAlign w:val="subscript"/>
        </w:rPr>
        <w:t>min</w:t>
      </w:r>
      <w:proofErr w:type="spellEnd"/>
      <w:r w:rsidR="008E6093">
        <w:rPr>
          <w:color w:val="000000"/>
        </w:rPr>
        <w:t> </w:t>
      </w:r>
      <w:r>
        <w:rPr>
          <w:color w:val="000000"/>
        </w:rPr>
        <w:t>=</w:t>
      </w:r>
      <w:r w:rsidR="008E6093">
        <w:rPr>
          <w:color w:val="000000"/>
        </w:rPr>
        <w:t> </w:t>
      </w:r>
      <w:r>
        <w:rPr>
          <w:color w:val="000000"/>
        </w:rPr>
        <w:t>10)</w:t>
      </w:r>
      <w:r w:rsidR="00A17614">
        <w:rPr>
          <w:color w:val="000000"/>
        </w:rPr>
        <w:t xml:space="preserve"> </w:t>
      </w:r>
      <w:r w:rsidR="00A17614" w:rsidRPr="00A17614">
        <w:rPr>
          <w:color w:val="000000"/>
        </w:rPr>
        <w:t>[</w:t>
      </w:r>
      <w:r w:rsidR="008A071F" w:rsidRPr="008A071F">
        <w:rPr>
          <w:color w:val="000000"/>
        </w:rPr>
        <w:t>3</w:t>
      </w:r>
      <w:r w:rsidR="00A17614" w:rsidRPr="00A17614">
        <w:rPr>
          <w:color w:val="000000"/>
        </w:rPr>
        <w:t>]</w:t>
      </w:r>
      <w:r w:rsidRPr="00E47EAE">
        <w:rPr>
          <w:color w:val="000000"/>
        </w:rPr>
        <w:t>.</w:t>
      </w:r>
      <w:bookmarkStart w:id="0" w:name="_GoBack"/>
      <w:bookmarkEnd w:id="0"/>
    </w:p>
    <w:p w14:paraId="0000000E" w14:textId="77777777" w:rsidR="00130241" w:rsidRPr="00A17614" w:rsidRDefault="00EB1F49" w:rsidP="002E1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4A5D5AF8" w14:textId="16A15B41" w:rsidR="00A17614" w:rsidRPr="009A3835" w:rsidRDefault="00A17614" w:rsidP="002E1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1. </w:t>
      </w:r>
      <w:r w:rsidRPr="00A17614">
        <w:rPr>
          <w:color w:val="000000"/>
        </w:rPr>
        <w:t>Попов</w:t>
      </w:r>
      <w:r w:rsidR="008E6093">
        <w:rPr>
          <w:color w:val="000000"/>
        </w:rPr>
        <w:t> </w:t>
      </w:r>
      <w:r w:rsidRPr="00A17614">
        <w:rPr>
          <w:color w:val="000000"/>
        </w:rPr>
        <w:t>А.И. Гуминовые вещества: свойства, строение, образование / Под ред. Ермакова</w:t>
      </w:r>
      <w:r w:rsidR="002E100F">
        <w:rPr>
          <w:color w:val="000000"/>
        </w:rPr>
        <w:t> </w:t>
      </w:r>
      <w:r w:rsidRPr="00A17614">
        <w:rPr>
          <w:color w:val="000000"/>
        </w:rPr>
        <w:t xml:space="preserve">Е.И. // </w:t>
      </w:r>
      <w:proofErr w:type="gramStart"/>
      <w:r w:rsidRPr="00A17614">
        <w:rPr>
          <w:color w:val="000000"/>
        </w:rPr>
        <w:t>СПб.:</w:t>
      </w:r>
      <w:proofErr w:type="gramEnd"/>
      <w:r w:rsidRPr="00A17614">
        <w:rPr>
          <w:color w:val="000000"/>
        </w:rPr>
        <w:t xml:space="preserve"> </w:t>
      </w:r>
      <w:proofErr w:type="spellStart"/>
      <w:r w:rsidRPr="00A17614">
        <w:rPr>
          <w:color w:val="000000"/>
        </w:rPr>
        <w:t>Изд</w:t>
      </w:r>
      <w:proofErr w:type="spellEnd"/>
      <w:r w:rsidRPr="00A17614">
        <w:rPr>
          <w:color w:val="000000"/>
        </w:rPr>
        <w:t xml:space="preserve"> во С.-</w:t>
      </w:r>
      <w:proofErr w:type="spellStart"/>
      <w:r w:rsidRPr="00A17614">
        <w:rPr>
          <w:color w:val="000000"/>
        </w:rPr>
        <w:t>Петерб</w:t>
      </w:r>
      <w:proofErr w:type="spellEnd"/>
      <w:r w:rsidRPr="00A17614">
        <w:rPr>
          <w:color w:val="000000"/>
        </w:rPr>
        <w:t xml:space="preserve">. ун-та. </w:t>
      </w:r>
      <w:r w:rsidRPr="009A3835">
        <w:rPr>
          <w:color w:val="000000"/>
        </w:rPr>
        <w:t>2004.</w:t>
      </w:r>
    </w:p>
    <w:p w14:paraId="0C4BC4CC" w14:textId="46C6F5C9" w:rsidR="00116478" w:rsidRPr="008A071F" w:rsidRDefault="00A17614" w:rsidP="002E1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9A3835">
        <w:rPr>
          <w:color w:val="000000"/>
        </w:rPr>
        <w:t>2</w:t>
      </w:r>
      <w:r w:rsidR="00116478" w:rsidRPr="009A3835">
        <w:rPr>
          <w:color w:val="000000"/>
        </w:rPr>
        <w:t xml:space="preserve">. </w:t>
      </w:r>
      <w:r w:rsidRPr="00A17614">
        <w:rPr>
          <w:color w:val="000000"/>
        </w:rPr>
        <w:t>Программа</w:t>
      </w:r>
      <w:r w:rsidRPr="009A3835">
        <w:rPr>
          <w:color w:val="000000"/>
        </w:rPr>
        <w:t xml:space="preserve"> «</w:t>
      </w:r>
      <w:proofErr w:type="spellStart"/>
      <w:r w:rsidRPr="00A17614">
        <w:rPr>
          <w:color w:val="000000"/>
          <w:lang w:val="en-US"/>
        </w:rPr>
        <w:t>ProteinG</w:t>
      </w:r>
      <w:proofErr w:type="spellEnd"/>
      <w:r w:rsidRPr="009A3835">
        <w:rPr>
          <w:color w:val="000000"/>
        </w:rPr>
        <w:t>»</w:t>
      </w:r>
      <w:r w:rsidR="008A071F" w:rsidRPr="009A3835">
        <w:rPr>
          <w:color w:val="000000"/>
        </w:rPr>
        <w:t>.</w:t>
      </w:r>
      <w:r w:rsidRPr="009A3835">
        <w:rPr>
          <w:color w:val="000000"/>
        </w:rPr>
        <w:t xml:space="preserve"> </w:t>
      </w:r>
      <w:r w:rsidR="008A071F">
        <w:rPr>
          <w:color w:val="000000"/>
          <w:lang w:val="en-US"/>
        </w:rPr>
        <w:t>URL</w:t>
      </w:r>
      <w:r w:rsidR="008A071F" w:rsidRPr="008A071F">
        <w:rPr>
          <w:color w:val="000000"/>
        </w:rPr>
        <w:t xml:space="preserve">: </w:t>
      </w:r>
      <w:hyperlink r:id="rId6" w:history="1">
        <w:r w:rsidR="008A071F" w:rsidRPr="005B31F7">
          <w:rPr>
            <w:rStyle w:val="a9"/>
            <w:lang w:val="en-US"/>
          </w:rPr>
          <w:t>http</w:t>
        </w:r>
        <w:r w:rsidR="008A071F" w:rsidRPr="008A071F">
          <w:rPr>
            <w:rStyle w:val="a9"/>
          </w:rPr>
          <w:t>://</w:t>
        </w:r>
        <w:r w:rsidR="008A071F" w:rsidRPr="005B31F7">
          <w:rPr>
            <w:rStyle w:val="a9"/>
            <w:lang w:val="en-US"/>
          </w:rPr>
          <w:t>www</w:t>
        </w:r>
        <w:r w:rsidR="008A071F" w:rsidRPr="008A071F">
          <w:rPr>
            <w:rStyle w:val="a9"/>
          </w:rPr>
          <w:t>.</w:t>
        </w:r>
        <w:r w:rsidR="008A071F" w:rsidRPr="005B31F7">
          <w:rPr>
            <w:rStyle w:val="a9"/>
            <w:lang w:val="en-US"/>
          </w:rPr>
          <w:t>thomascat</w:t>
        </w:r>
        <w:r w:rsidR="008A071F" w:rsidRPr="008A071F">
          <w:rPr>
            <w:rStyle w:val="a9"/>
          </w:rPr>
          <w:t>.</w:t>
        </w:r>
        <w:r w:rsidR="008A071F" w:rsidRPr="005B31F7">
          <w:rPr>
            <w:rStyle w:val="a9"/>
            <w:lang w:val="en-US"/>
          </w:rPr>
          <w:t>info</w:t>
        </w:r>
        <w:r w:rsidR="008A071F" w:rsidRPr="008A071F">
          <w:rPr>
            <w:rStyle w:val="a9"/>
          </w:rPr>
          <w:t>/</w:t>
        </w:r>
        <w:r w:rsidR="008A071F" w:rsidRPr="005B31F7">
          <w:rPr>
            <w:rStyle w:val="a9"/>
            <w:lang w:val="en-US"/>
          </w:rPr>
          <w:t>Scientific</w:t>
        </w:r>
        <w:r w:rsidR="008A071F" w:rsidRPr="008A071F">
          <w:rPr>
            <w:rStyle w:val="a9"/>
          </w:rPr>
          <w:t>/</w:t>
        </w:r>
        <w:r w:rsidR="008A071F" w:rsidRPr="005B31F7">
          <w:rPr>
            <w:rStyle w:val="a9"/>
            <w:lang w:val="en-US"/>
          </w:rPr>
          <w:t>adso</w:t>
        </w:r>
        <w:r w:rsidR="008A071F" w:rsidRPr="008A071F">
          <w:rPr>
            <w:rStyle w:val="a9"/>
          </w:rPr>
          <w:t>/</w:t>
        </w:r>
        <w:r w:rsidR="008A071F" w:rsidRPr="005B31F7">
          <w:rPr>
            <w:rStyle w:val="a9"/>
            <w:lang w:val="en-US"/>
          </w:rPr>
          <w:t>adso</w:t>
        </w:r>
        <w:r w:rsidR="008A071F" w:rsidRPr="008A071F">
          <w:rPr>
            <w:rStyle w:val="a9"/>
          </w:rPr>
          <w:t>.</w:t>
        </w:r>
        <w:r w:rsidR="008A071F" w:rsidRPr="005B31F7">
          <w:rPr>
            <w:rStyle w:val="a9"/>
            <w:lang w:val="en-US"/>
          </w:rPr>
          <w:t>htm</w:t>
        </w:r>
      </w:hyperlink>
      <w:r w:rsidR="008A071F" w:rsidRPr="008A071F">
        <w:rPr>
          <w:color w:val="000000"/>
        </w:rPr>
        <w:t xml:space="preserve"> (</w:t>
      </w:r>
      <w:r w:rsidR="008A071F">
        <w:rPr>
          <w:color w:val="000000"/>
        </w:rPr>
        <w:t>дата обращения: 14.02.2024).</w:t>
      </w:r>
    </w:p>
    <w:p w14:paraId="3486C755" w14:textId="717D3116" w:rsidR="00116478" w:rsidRPr="00116478" w:rsidRDefault="00A17614" w:rsidP="002E10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8A071F">
        <w:rPr>
          <w:color w:val="000000"/>
          <w:lang w:val="en-US"/>
        </w:rPr>
        <w:t>3</w:t>
      </w:r>
      <w:r w:rsidR="00116478" w:rsidRPr="008A071F">
        <w:rPr>
          <w:color w:val="000000"/>
          <w:lang w:val="en-US"/>
        </w:rPr>
        <w:t xml:space="preserve">. </w:t>
      </w:r>
      <w:r w:rsidR="00E47EAE" w:rsidRPr="00E47EAE">
        <w:rPr>
          <w:noProof/>
          <w:lang w:val="en-US"/>
        </w:rPr>
        <w:t>Lucassen</w:t>
      </w:r>
      <w:r w:rsidR="00E47EAE" w:rsidRPr="008A071F">
        <w:rPr>
          <w:noProof/>
          <w:lang w:val="en-US"/>
        </w:rPr>
        <w:t>-</w:t>
      </w:r>
      <w:r w:rsidR="00E47EAE" w:rsidRPr="00E47EAE">
        <w:rPr>
          <w:noProof/>
          <w:lang w:val="en-US"/>
        </w:rPr>
        <w:t>Reynders</w:t>
      </w:r>
      <w:r w:rsidR="008E6093" w:rsidRPr="008E6093">
        <w:rPr>
          <w:noProof/>
          <w:lang w:val="en-US"/>
        </w:rPr>
        <w:t> </w:t>
      </w:r>
      <w:r w:rsidR="00E47EAE" w:rsidRPr="00E47EAE">
        <w:rPr>
          <w:noProof/>
          <w:lang w:val="en-US"/>
        </w:rPr>
        <w:t>E</w:t>
      </w:r>
      <w:r w:rsidR="00E47EAE" w:rsidRPr="008A071F">
        <w:rPr>
          <w:noProof/>
          <w:lang w:val="en-US"/>
        </w:rPr>
        <w:t>.</w:t>
      </w:r>
      <w:r w:rsidR="00E47EAE" w:rsidRPr="00E47EAE">
        <w:rPr>
          <w:noProof/>
          <w:lang w:val="en-US"/>
        </w:rPr>
        <w:t>H</w:t>
      </w:r>
      <w:r w:rsidR="00E47EAE" w:rsidRPr="008A071F">
        <w:rPr>
          <w:noProof/>
          <w:lang w:val="en-US"/>
        </w:rPr>
        <w:t xml:space="preserve">., </w:t>
      </w:r>
      <w:r w:rsidR="00E47EAE" w:rsidRPr="00E47EAE">
        <w:rPr>
          <w:noProof/>
          <w:lang w:val="en-US"/>
        </w:rPr>
        <w:t>Fainerman</w:t>
      </w:r>
      <w:r w:rsidR="008E6093" w:rsidRPr="008E6093">
        <w:rPr>
          <w:noProof/>
          <w:lang w:val="en-US"/>
        </w:rPr>
        <w:t> </w:t>
      </w:r>
      <w:r w:rsidR="00E47EAE" w:rsidRPr="00E47EAE">
        <w:rPr>
          <w:noProof/>
          <w:lang w:val="en-US"/>
        </w:rPr>
        <w:t>V</w:t>
      </w:r>
      <w:r w:rsidR="00E47EAE" w:rsidRPr="008A071F">
        <w:rPr>
          <w:noProof/>
          <w:lang w:val="en-US"/>
        </w:rPr>
        <w:t>.</w:t>
      </w:r>
      <w:r w:rsidR="00E47EAE" w:rsidRPr="00E47EAE">
        <w:rPr>
          <w:noProof/>
          <w:lang w:val="en-US"/>
        </w:rPr>
        <w:t>B</w:t>
      </w:r>
      <w:r w:rsidR="00E47EAE" w:rsidRPr="008A071F">
        <w:rPr>
          <w:noProof/>
          <w:lang w:val="en-US"/>
        </w:rPr>
        <w:t xml:space="preserve">., </w:t>
      </w:r>
      <w:r w:rsidR="00E47EAE" w:rsidRPr="00E47EAE">
        <w:rPr>
          <w:noProof/>
          <w:lang w:val="en-US"/>
        </w:rPr>
        <w:t>Miller</w:t>
      </w:r>
      <w:r w:rsidR="008E6093" w:rsidRPr="009A3835">
        <w:rPr>
          <w:noProof/>
          <w:lang w:val="en-US"/>
        </w:rPr>
        <w:t> </w:t>
      </w:r>
      <w:r w:rsidR="00E47EAE" w:rsidRPr="00E47EAE">
        <w:rPr>
          <w:noProof/>
          <w:lang w:val="en-US"/>
        </w:rPr>
        <w:t>R. Surface Dilational Modulus or Gibbs' Elasticity of Protein Adsorption Layers // J. Phys. Chem. B. 2004. V. 108. P. 9173 9176.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0A057E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93E88"/>
    <w:rsid w:val="002E100F"/>
    <w:rsid w:val="002E518E"/>
    <w:rsid w:val="0031361E"/>
    <w:rsid w:val="00391C38"/>
    <w:rsid w:val="003B76D6"/>
    <w:rsid w:val="00425A1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52F2F"/>
    <w:rsid w:val="00775389"/>
    <w:rsid w:val="00797838"/>
    <w:rsid w:val="007C36D8"/>
    <w:rsid w:val="007F2744"/>
    <w:rsid w:val="007F3085"/>
    <w:rsid w:val="008151A9"/>
    <w:rsid w:val="00832563"/>
    <w:rsid w:val="008931BE"/>
    <w:rsid w:val="008A071F"/>
    <w:rsid w:val="008C67E3"/>
    <w:rsid w:val="008E6093"/>
    <w:rsid w:val="00921D45"/>
    <w:rsid w:val="00964F64"/>
    <w:rsid w:val="00972ECC"/>
    <w:rsid w:val="009A3835"/>
    <w:rsid w:val="009A66DB"/>
    <w:rsid w:val="009B2F80"/>
    <w:rsid w:val="009B3300"/>
    <w:rsid w:val="009F3380"/>
    <w:rsid w:val="00A02163"/>
    <w:rsid w:val="00A17614"/>
    <w:rsid w:val="00A314FE"/>
    <w:rsid w:val="00BA7266"/>
    <w:rsid w:val="00BA7D99"/>
    <w:rsid w:val="00BF36F8"/>
    <w:rsid w:val="00BF4622"/>
    <w:rsid w:val="00CD00B1"/>
    <w:rsid w:val="00D22306"/>
    <w:rsid w:val="00D42542"/>
    <w:rsid w:val="00D8121C"/>
    <w:rsid w:val="00D95057"/>
    <w:rsid w:val="00E22189"/>
    <w:rsid w:val="00E47EAE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81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homascat.info/Scientific/adso/adso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0D2E027-48CB-491F-9CD4-D1B42F0F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 PC</cp:lastModifiedBy>
  <cp:revision>15</cp:revision>
  <dcterms:created xsi:type="dcterms:W3CDTF">2022-11-07T09:18:00Z</dcterms:created>
  <dcterms:modified xsi:type="dcterms:W3CDTF">2024-02-14T18:02:00Z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