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01625" w14:textId="77777777" w:rsidR="00130241" w:rsidRDefault="00006265" w:rsidP="00006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Фазовая диаграмма и межфазные явления в системе</w:t>
      </w:r>
      <w:r>
        <w:rPr>
          <w:b/>
          <w:color w:val="000000"/>
        </w:rPr>
        <w:br/>
        <w:t>«вода – 2-бутоксиэтанол – толуол»</w:t>
      </w:r>
    </w:p>
    <w:p w14:paraId="103E6C0D" w14:textId="59D0AD34" w:rsidR="00130241" w:rsidRDefault="00FB5DF2" w:rsidP="00D23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25AE">
        <w:rPr>
          <w:b/>
          <w:i/>
          <w:color w:val="000000"/>
        </w:rPr>
        <w:t>Карпов Д</w:t>
      </w:r>
      <w:r w:rsidR="00EB1F49" w:rsidRPr="007C25AE">
        <w:rPr>
          <w:b/>
          <w:i/>
          <w:color w:val="000000"/>
        </w:rPr>
        <w:t>.</w:t>
      </w:r>
      <w:r w:rsidR="007C25AE" w:rsidRPr="007C25AE">
        <w:rPr>
          <w:b/>
          <w:i/>
          <w:color w:val="000000"/>
        </w:rPr>
        <w:t xml:space="preserve"> Г.</w:t>
      </w:r>
      <w:r w:rsidR="00EB1F49" w:rsidRPr="007C25AE">
        <w:rPr>
          <w:b/>
          <w:i/>
          <w:color w:val="000000"/>
          <w:vertAlign w:val="superscript"/>
        </w:rPr>
        <w:t>1</w:t>
      </w:r>
      <w:r w:rsidR="008C67E3" w:rsidRPr="007C25AE">
        <w:rPr>
          <w:b/>
          <w:i/>
          <w:color w:val="000000"/>
        </w:rPr>
        <w:t>,</w:t>
      </w:r>
      <w:r w:rsidR="00EB1F49" w:rsidRPr="007C25AE">
        <w:rPr>
          <w:b/>
          <w:i/>
          <w:color w:val="000000"/>
        </w:rPr>
        <w:t xml:space="preserve"> </w:t>
      </w:r>
      <w:r w:rsidRPr="007C25AE">
        <w:rPr>
          <w:b/>
          <w:i/>
          <w:color w:val="000000"/>
        </w:rPr>
        <w:t>Кучиерская А. А</w:t>
      </w:r>
      <w:r w:rsidR="00EB1F49" w:rsidRPr="007C25AE">
        <w:rPr>
          <w:b/>
          <w:i/>
          <w:color w:val="000000"/>
        </w:rPr>
        <w:t>.</w:t>
      </w:r>
      <w:r w:rsidRPr="007C25AE">
        <w:rPr>
          <w:b/>
          <w:i/>
          <w:color w:val="000000"/>
          <w:vertAlign w:val="superscript"/>
        </w:rPr>
        <w:t>1</w:t>
      </w:r>
    </w:p>
    <w:p w14:paraId="45C3E3B2" w14:textId="77777777" w:rsidR="00130241" w:rsidRDefault="00EB1F49" w:rsidP="00D23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B5DF2">
        <w:rPr>
          <w:i/>
          <w:color w:val="000000"/>
        </w:rPr>
        <w:t>бакалавриата</w:t>
      </w:r>
    </w:p>
    <w:p w14:paraId="07030D9E" w14:textId="77777777" w:rsidR="00130241" w:rsidRDefault="00FB5DF2" w:rsidP="00D23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Губкинский университет, кафедра физической и коллоидной химии, Москва, Россия</w:t>
      </w:r>
    </w:p>
    <w:p w14:paraId="1B2E13BC" w14:textId="77777777" w:rsidR="00CD00B1" w:rsidRPr="00FB5DF2" w:rsidRDefault="00EB1F49" w:rsidP="00D23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B5DF2">
        <w:rPr>
          <w:i/>
          <w:color w:val="000000"/>
          <w:lang w:val="en-US"/>
        </w:rPr>
        <w:t>E</w:t>
      </w:r>
      <w:r w:rsidR="003B76D6" w:rsidRPr="00FB5DF2">
        <w:rPr>
          <w:i/>
          <w:color w:val="000000"/>
          <w:lang w:val="en-US"/>
        </w:rPr>
        <w:t>-</w:t>
      </w:r>
      <w:r w:rsidRPr="00FB5DF2">
        <w:rPr>
          <w:i/>
          <w:color w:val="000000"/>
          <w:lang w:val="en-US"/>
        </w:rPr>
        <w:t xml:space="preserve">mail: </w:t>
      </w:r>
      <w:r w:rsidR="00FB5DF2" w:rsidRPr="00FB5DF2">
        <w:rPr>
          <w:i/>
          <w:u w:val="single"/>
          <w:lang w:val="en-US"/>
        </w:rPr>
        <w:t>karpov.imperiy@mail.ru</w:t>
      </w:r>
    </w:p>
    <w:p w14:paraId="51B7C2A7" w14:textId="77777777" w:rsidR="00E2703E" w:rsidRDefault="00D23909" w:rsidP="00D23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2-</w:t>
      </w:r>
      <w:r w:rsidR="00E2703E">
        <w:t xml:space="preserve">Бутоксиэтанол используется в качестве компонента чистящих средств, растворителей и диспергентов. Он </w:t>
      </w:r>
      <w:r>
        <w:t>способен адсорбироваться на границе раздела вода/масло</w:t>
      </w:r>
      <w:r w:rsidR="00E2703E">
        <w:t xml:space="preserve">, снижая межфазное натяжение, </w:t>
      </w:r>
      <w:r>
        <w:t>и увеличивать растворимость гидрофобных соединений в водных растворах</w:t>
      </w:r>
      <w:r w:rsidR="006374E0">
        <w:t xml:space="preserve"> </w:t>
      </w:r>
      <w:r w:rsidR="006374E0" w:rsidRPr="006374E0">
        <w:t>[1]</w:t>
      </w:r>
      <w:r>
        <w:t>.</w:t>
      </w:r>
    </w:p>
    <w:p w14:paraId="11B352B8" w14:textId="77777777" w:rsidR="00E2703E" w:rsidRDefault="00D23909" w:rsidP="00582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рамках данной работы б</w:t>
      </w:r>
      <w:r w:rsidR="000E72D2">
        <w:t>ыла исследована тройная система</w:t>
      </w:r>
      <w:r w:rsidR="000E72D2">
        <w:br/>
      </w:r>
      <w:r>
        <w:t>«вода – 2-бутоксиэтанол</w:t>
      </w:r>
      <w:r w:rsidR="000E72D2">
        <w:t xml:space="preserve"> </w:t>
      </w:r>
      <w:r>
        <w:t xml:space="preserve">– толуол». </w:t>
      </w:r>
      <w:r w:rsidR="000E72D2">
        <w:t>Была построена фазовая диаграмма системы при</w:t>
      </w:r>
      <w:r w:rsidR="0058211A">
        <w:t> </w:t>
      </w:r>
      <w:r w:rsidR="0058211A">
        <w:rPr>
          <w:color w:val="000000"/>
        </w:rPr>
        <w:t>20 º</w:t>
      </w:r>
      <w:r w:rsidR="0058211A">
        <w:rPr>
          <w:color w:val="000000"/>
          <w:lang w:val="en-US"/>
        </w:rPr>
        <w:t>C</w:t>
      </w:r>
      <w:r w:rsidR="00006265">
        <w:rPr>
          <w:color w:val="000000"/>
        </w:rPr>
        <w:t xml:space="preserve"> и атмосферном давлении</w:t>
      </w:r>
      <w:r w:rsidR="0058211A">
        <w:t xml:space="preserve">. Для двухфазных образцов системы было измерено межфазное натяжение, плотность и динамическая вязкость равновесных фаз. </w:t>
      </w:r>
      <w:r w:rsidR="0058211A" w:rsidRPr="00F32298">
        <w:rPr>
          <w:color w:val="000000"/>
        </w:rPr>
        <w:t>Положение границ</w:t>
      </w:r>
      <w:r w:rsidR="0058211A">
        <w:rPr>
          <w:color w:val="000000"/>
        </w:rPr>
        <w:t>ы</w:t>
      </w:r>
      <w:r w:rsidR="0058211A" w:rsidRPr="00F32298">
        <w:rPr>
          <w:color w:val="000000"/>
        </w:rPr>
        <w:t xml:space="preserve"> расслоения </w:t>
      </w:r>
      <w:r w:rsidR="0058211A">
        <w:rPr>
          <w:color w:val="000000"/>
        </w:rPr>
        <w:t xml:space="preserve">на диаграмме было определено с помощью титрования из двухфазного состояния в однофазное. Положение критической точки также определялось титрованием при объемном соотношении фаз 1:1. </w:t>
      </w:r>
      <w:r w:rsidR="0058211A">
        <w:t>Критическая точка</w:t>
      </w:r>
      <w:r w:rsidR="00E2703E">
        <w:t xml:space="preserve"> </w:t>
      </w:r>
      <w:r w:rsidR="00006265">
        <w:t xml:space="preserve">на фазовой диаграмме </w:t>
      </w:r>
      <w:r w:rsidR="00E2703E">
        <w:t>смещен</w:t>
      </w:r>
      <w:r w:rsidR="0058211A">
        <w:t>а</w:t>
      </w:r>
      <w:r w:rsidR="00E2703E">
        <w:t xml:space="preserve"> к вершине воды, поскольку в околокритической области </w:t>
      </w:r>
      <w:r w:rsidR="0013328C">
        <w:t>бутоксиэтанол обогащае</w:t>
      </w:r>
      <w:r w:rsidR="00E2703E">
        <w:t xml:space="preserve">т масляную фазу. </w:t>
      </w:r>
      <w:r w:rsidR="0013328C">
        <w:t xml:space="preserve">Это связано </w:t>
      </w:r>
      <w:r w:rsidR="00E2703E">
        <w:t xml:space="preserve">с наличием в </w:t>
      </w:r>
      <w:r w:rsidR="0013328C">
        <w:t xml:space="preserve">его </w:t>
      </w:r>
      <w:r w:rsidR="00E2703E">
        <w:t>структуре довольно крупн</w:t>
      </w:r>
      <w:r w:rsidR="0013328C">
        <w:t>ого</w:t>
      </w:r>
      <w:r w:rsidR="00E2703E">
        <w:t xml:space="preserve"> гидрофобн</w:t>
      </w:r>
      <w:r w:rsidR="0013328C">
        <w:t xml:space="preserve">ого радикала, из-за которого растворение бутоксиэтанола в воде сопровождается </w:t>
      </w:r>
      <w:r w:rsidR="00E2703E">
        <w:t>частичн</w:t>
      </w:r>
      <w:r w:rsidR="0013328C">
        <w:t>ым</w:t>
      </w:r>
      <w:r w:rsidR="00E2703E">
        <w:t xml:space="preserve"> разрыв</w:t>
      </w:r>
      <w:r w:rsidR="0013328C">
        <w:t>ом водородных связей между молекулами воды</w:t>
      </w:r>
      <w:r w:rsidR="0058211A">
        <w:t>.</w:t>
      </w:r>
    </w:p>
    <w:p w14:paraId="27790C5A" w14:textId="77777777" w:rsidR="006374E0" w:rsidRDefault="0013328C" w:rsidP="00D23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Избыточная вязкость равновесных фаз двухфазных образцов сначала увеличивается п</w:t>
      </w:r>
      <w:r w:rsidR="00E2703E">
        <w:t>о мере движения от вершины воды вдоль границы расслоения</w:t>
      </w:r>
      <w:r>
        <w:t>, что обусловлено</w:t>
      </w:r>
      <w:r w:rsidR="00E2703E">
        <w:t xml:space="preserve"> потерей подвижности молекулами воды</w:t>
      </w:r>
      <w:r>
        <w:t xml:space="preserve"> при увеличении содержания в ней органических компонентов</w:t>
      </w:r>
      <w:r w:rsidR="00E2703E">
        <w:t xml:space="preserve">. После достижения максимума происходит снижение вязкости, связанное с переходом </w:t>
      </w:r>
      <w:r>
        <w:t xml:space="preserve">системы </w:t>
      </w:r>
      <w:r w:rsidR="00E2703E">
        <w:t xml:space="preserve">к </w:t>
      </w:r>
      <w:r>
        <w:t xml:space="preserve">микрогетерогенной </w:t>
      </w:r>
      <w:r w:rsidR="00006265">
        <w:t xml:space="preserve">структуре, </w:t>
      </w:r>
      <w:r>
        <w:t>где имеются</w:t>
      </w:r>
      <w:r w:rsidR="00E2703E">
        <w:t xml:space="preserve"> отдельные области, обогащенные более гидрофильными и б</w:t>
      </w:r>
      <w:r>
        <w:t>олее гидрофобными компонентами</w:t>
      </w:r>
      <w:r w:rsidR="00006265">
        <w:t xml:space="preserve"> </w:t>
      </w:r>
      <w:r w:rsidR="006374E0" w:rsidRPr="006374E0">
        <w:t>[2]</w:t>
      </w:r>
      <w:r>
        <w:t>.</w:t>
      </w:r>
      <w:r w:rsidR="006374E0">
        <w:t xml:space="preserve"> </w:t>
      </w:r>
      <w:r>
        <w:t>Измеренные плотности равновесных фаз были использованы для расчета избыточных мольных</w:t>
      </w:r>
      <w:r w:rsidR="00E2703E">
        <w:t xml:space="preserve"> объем</w:t>
      </w:r>
      <w:r>
        <w:t xml:space="preserve">ов </w:t>
      </w:r>
      <w:r w:rsidR="006374E0" w:rsidRPr="009B47F3">
        <w:rPr>
          <w:i/>
          <w:color w:val="000000"/>
        </w:rPr>
        <w:t>V</w:t>
      </w:r>
      <w:r w:rsidR="006374E0" w:rsidRPr="009B47F3">
        <w:rPr>
          <w:i/>
          <w:color w:val="000000"/>
          <w:vertAlign w:val="superscript"/>
        </w:rPr>
        <w:t>E</w:t>
      </w:r>
      <w:r w:rsidR="006374E0">
        <w:rPr>
          <w:i/>
          <w:color w:val="000000"/>
        </w:rPr>
        <w:t>.</w:t>
      </w:r>
      <w:r w:rsidR="00E2703E">
        <w:t xml:space="preserve"> </w:t>
      </w:r>
      <w:r w:rsidR="006374E0">
        <w:t>В</w:t>
      </w:r>
      <w:r w:rsidR="00E2703E">
        <w:t xml:space="preserve">еличины </w:t>
      </w:r>
      <w:r w:rsidR="006374E0" w:rsidRPr="009B47F3">
        <w:rPr>
          <w:i/>
          <w:color w:val="000000"/>
        </w:rPr>
        <w:t>V</w:t>
      </w:r>
      <w:r w:rsidR="006374E0" w:rsidRPr="009B47F3">
        <w:rPr>
          <w:i/>
          <w:color w:val="000000"/>
          <w:vertAlign w:val="superscript"/>
        </w:rPr>
        <w:t>E</w:t>
      </w:r>
      <w:r w:rsidR="006374E0">
        <w:t xml:space="preserve"> </w:t>
      </w:r>
      <w:r w:rsidR="00006265">
        <w:t xml:space="preserve">равновесных фаз </w:t>
      </w:r>
      <w:r w:rsidR="00E2703E">
        <w:t>в основном отрицательны, что характерно для водных растворов неэлектролитов.</w:t>
      </w:r>
    </w:p>
    <w:p w14:paraId="69DB9250" w14:textId="6D6FE9FC" w:rsidR="00E2703E" w:rsidRDefault="006374E0" w:rsidP="006374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Межфазное натяжение для двухфазных образцов тройной системы было измерено по методу вращающейся капли. </w:t>
      </w:r>
      <w:r w:rsidR="00E2703E">
        <w:t>Экспериментально полученные зависимости были аппроксимированы кроссоверной изотермой</w:t>
      </w:r>
      <w:r>
        <w:t>, которая</w:t>
      </w:r>
      <w:r w:rsidR="00E2703E">
        <w:t xml:space="preserve"> сочетает функции быстрого падения межфазного натяжения </w:t>
      </w:r>
      <w:r>
        <w:t>при низких концентрациях</w:t>
      </w:r>
      <w:r w:rsidR="00E2703E">
        <w:t xml:space="preserve"> </w:t>
      </w:r>
      <w:r>
        <w:t>бутоксиэтанола</w:t>
      </w:r>
      <w:r w:rsidR="00E2703E">
        <w:t xml:space="preserve"> и обращения </w:t>
      </w:r>
      <w:r>
        <w:t xml:space="preserve">в ноль межфазного натяжения в околокритической области </w:t>
      </w:r>
      <w:r w:rsidRPr="006374E0">
        <w:t>[</w:t>
      </w:r>
      <w:r w:rsidR="00006265">
        <w:t>3</w:t>
      </w:r>
      <w:r w:rsidRPr="006374E0">
        <w:t>]</w:t>
      </w:r>
      <w:r w:rsidR="00E2703E">
        <w:t>.</w:t>
      </w:r>
      <w:r>
        <w:t xml:space="preserve"> По уравнению Гиббса была рассчитана адсорбция бутоксиэтанола на границе раздела вода/толуол. </w:t>
      </w:r>
      <w:r w:rsidR="00E2703E">
        <w:t>Максимальное наблюдаемо</w:t>
      </w:r>
      <w:r w:rsidR="00054E2B">
        <w:rPr>
          <w:lang w:val="en-US"/>
        </w:rPr>
        <w:t>е</w:t>
      </w:r>
      <w:r w:rsidR="00E2703E">
        <w:t xml:space="preserve"> значение адсорбции </w:t>
      </w:r>
      <w:r>
        <w:t xml:space="preserve">составило </w:t>
      </w:r>
      <w:r w:rsidR="00C11045">
        <w:t>около 4</w:t>
      </w:r>
      <w:r w:rsidR="00C11045">
        <w:rPr>
          <w:lang w:val="en-US"/>
        </w:rPr>
        <w:t>.</w:t>
      </w:r>
      <w:r w:rsidR="00E2703E">
        <w:t>7∙10</w:t>
      </w:r>
      <w:r w:rsidR="00E2703E" w:rsidRPr="006374E0">
        <w:rPr>
          <w:vertAlign w:val="superscript"/>
        </w:rPr>
        <w:t>-6</w:t>
      </w:r>
      <w:r>
        <w:t> </w:t>
      </w:r>
      <w:r w:rsidR="00E2703E">
        <w:t>моль/м</w:t>
      </w:r>
      <w:r w:rsidR="00E2703E" w:rsidRPr="006374E0">
        <w:rPr>
          <w:vertAlign w:val="superscript"/>
        </w:rPr>
        <w:t>2</w:t>
      </w:r>
      <w:r w:rsidR="00E2703E">
        <w:t>)</w:t>
      </w:r>
      <w:r>
        <w:t>.</w:t>
      </w:r>
    </w:p>
    <w:p w14:paraId="2788FB0E" w14:textId="6375894D" w:rsidR="00A02163" w:rsidRPr="00A02163" w:rsidRDefault="00FB5DF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F5890">
        <w:rPr>
          <w:i/>
          <w:iCs/>
          <w:color w:val="000000"/>
        </w:rPr>
        <w:t>Исследование выполнено за счет гранта Российского научного фонда (проект № 20-79-10388).</w:t>
      </w:r>
      <w:r w:rsidRPr="00914CF7">
        <w:rPr>
          <w:i/>
          <w:color w:val="000000"/>
        </w:rPr>
        <w:t xml:space="preserve"> Автор</w:t>
      </w:r>
      <w:r>
        <w:rPr>
          <w:i/>
          <w:color w:val="000000"/>
        </w:rPr>
        <w:t>ы</w:t>
      </w:r>
      <w:r w:rsidRPr="00914CF7">
        <w:rPr>
          <w:i/>
          <w:color w:val="000000"/>
        </w:rPr>
        <w:t xml:space="preserve"> выража</w:t>
      </w:r>
      <w:r>
        <w:rPr>
          <w:i/>
          <w:color w:val="000000"/>
        </w:rPr>
        <w:t>ю</w:t>
      </w:r>
      <w:r w:rsidRPr="00914CF7">
        <w:rPr>
          <w:i/>
          <w:color w:val="000000"/>
        </w:rPr>
        <w:t xml:space="preserve">т благодарность научному руководителю </w:t>
      </w:r>
      <w:r>
        <w:rPr>
          <w:i/>
          <w:color w:val="000000"/>
        </w:rPr>
        <w:t>доц. Новикову </w:t>
      </w:r>
      <w:r w:rsidRPr="00914CF7">
        <w:rPr>
          <w:i/>
          <w:color w:val="000000"/>
        </w:rPr>
        <w:t>А.</w:t>
      </w:r>
      <w:r w:rsidR="00540565">
        <w:rPr>
          <w:i/>
          <w:color w:val="000000"/>
        </w:rPr>
        <w:t> </w:t>
      </w:r>
      <w:r w:rsidRPr="00914CF7">
        <w:rPr>
          <w:i/>
          <w:color w:val="000000"/>
        </w:rPr>
        <w:t>А. и доценту Семенову А.</w:t>
      </w:r>
      <w:r w:rsidR="00540565">
        <w:rPr>
          <w:i/>
          <w:color w:val="000000"/>
        </w:rPr>
        <w:t xml:space="preserve"> </w:t>
      </w:r>
      <w:bookmarkStart w:id="0" w:name="_GoBack"/>
      <w:bookmarkEnd w:id="0"/>
      <w:r w:rsidRPr="00914CF7">
        <w:rPr>
          <w:i/>
          <w:color w:val="000000"/>
        </w:rPr>
        <w:t>П.</w:t>
      </w:r>
    </w:p>
    <w:p w14:paraId="4D140274" w14:textId="77777777" w:rsidR="00130241" w:rsidRPr="00E270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3AF0917" w14:textId="77777777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6374E0" w:rsidRPr="006374E0">
        <w:rPr>
          <w:color w:val="000000"/>
          <w:lang w:val="en-US"/>
        </w:rPr>
        <w:t>Lee J. M., Lim K. H., Smith D. H. Formation of two-phase multiple emulsions by inclusion of continuous phase into dispersed phase //</w:t>
      </w:r>
      <w:r w:rsidR="006374E0">
        <w:rPr>
          <w:color w:val="000000"/>
          <w:lang w:val="en-US"/>
        </w:rPr>
        <w:t xml:space="preserve"> Langmuir. 2002. Vol. </w:t>
      </w:r>
      <w:r w:rsidR="006374E0" w:rsidRPr="006374E0">
        <w:rPr>
          <w:color w:val="000000"/>
          <w:lang w:val="en-US"/>
        </w:rPr>
        <w:t>18</w:t>
      </w:r>
      <w:r w:rsidR="006374E0">
        <w:rPr>
          <w:color w:val="000000"/>
          <w:lang w:val="en-US"/>
        </w:rPr>
        <w:t xml:space="preserve"> (20)</w:t>
      </w:r>
      <w:r w:rsidR="006374E0" w:rsidRPr="006374E0">
        <w:rPr>
          <w:color w:val="000000"/>
          <w:lang w:val="en-US"/>
        </w:rPr>
        <w:t xml:space="preserve">. </w:t>
      </w:r>
      <w:r w:rsidR="006374E0">
        <w:rPr>
          <w:color w:val="000000"/>
          <w:lang w:val="en-US"/>
        </w:rPr>
        <w:t>P.</w:t>
      </w:r>
      <w:r w:rsidR="006374E0" w:rsidRPr="006374E0">
        <w:rPr>
          <w:color w:val="000000"/>
          <w:lang w:val="en-US"/>
        </w:rPr>
        <w:t xml:space="preserve"> 7334</w:t>
      </w:r>
      <w:r w:rsidR="006374E0" w:rsidRPr="00E37407">
        <w:rPr>
          <w:color w:val="000000"/>
          <w:lang w:val="en-US"/>
        </w:rPr>
        <w:t>–</w:t>
      </w:r>
      <w:r w:rsidR="006374E0" w:rsidRPr="006374E0">
        <w:rPr>
          <w:color w:val="000000"/>
          <w:lang w:val="en-US"/>
        </w:rPr>
        <w:t>7340.</w:t>
      </w:r>
    </w:p>
    <w:p w14:paraId="3CFC6EE1" w14:textId="77777777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006265" w:rsidRPr="00006265">
        <w:rPr>
          <w:noProof/>
          <w:lang w:val="en-US"/>
        </w:rPr>
        <w:t>Cerar J. et al. Structural, rheological and dynamic aspects of hydrogen-bonding molecular liquids: Aqueous solutions of hydrotropic tert-butyl alcohol //</w:t>
      </w:r>
      <w:r w:rsidR="00006265">
        <w:rPr>
          <w:noProof/>
          <w:lang w:val="en-US"/>
        </w:rPr>
        <w:t xml:space="preserve"> </w:t>
      </w:r>
      <w:r w:rsidR="00006265" w:rsidRPr="00006265">
        <w:rPr>
          <w:noProof/>
          <w:lang w:val="en-US"/>
        </w:rPr>
        <w:t>Journal of c</w:t>
      </w:r>
      <w:r w:rsidR="00006265">
        <w:rPr>
          <w:noProof/>
          <w:lang w:val="en-US"/>
        </w:rPr>
        <w:t>olloid and interface science. 2020. Vol. 560. P.</w:t>
      </w:r>
      <w:r w:rsidR="00006265" w:rsidRPr="00006265">
        <w:rPr>
          <w:noProof/>
          <w:lang w:val="en-US"/>
        </w:rPr>
        <w:t xml:space="preserve"> 730</w:t>
      </w:r>
      <w:r w:rsidR="00006265" w:rsidRPr="00E37407">
        <w:rPr>
          <w:color w:val="000000"/>
          <w:lang w:val="en-US"/>
        </w:rPr>
        <w:t>–</w:t>
      </w:r>
      <w:r w:rsidR="00006265" w:rsidRPr="00006265">
        <w:rPr>
          <w:noProof/>
          <w:lang w:val="en-US"/>
        </w:rPr>
        <w:t>742.</w:t>
      </w:r>
    </w:p>
    <w:p w14:paraId="3B367811" w14:textId="6478AD39" w:rsidR="00006265" w:rsidRPr="00006265" w:rsidRDefault="0000626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3. </w:t>
      </w:r>
      <w:r w:rsidR="007C25AE" w:rsidRPr="007C25AE">
        <w:rPr>
          <w:noProof/>
          <w:lang w:val="en-US"/>
        </w:rPr>
        <w:t>Kuchierskaya</w:t>
      </w:r>
      <w:r w:rsidRPr="00006265">
        <w:rPr>
          <w:noProof/>
          <w:lang w:val="en-US"/>
        </w:rPr>
        <w:t xml:space="preserve"> A. A. et al. </w:t>
      </w:r>
      <w:r w:rsidR="007C25AE" w:rsidRPr="007C25AE">
        <w:rPr>
          <w:noProof/>
          <w:lang w:val="en-US"/>
        </w:rPr>
        <w:t>Interfacial tension and phase properties of water</w:t>
      </w:r>
      <w:r w:rsidR="007C25AE" w:rsidRPr="007C25AE">
        <w:rPr>
          <w:rFonts w:hint="eastAsia"/>
          <w:noProof/>
          <w:lang w:val="en-US"/>
        </w:rPr>
        <w:t>–</w:t>
      </w:r>
      <w:r w:rsidR="007C25AE" w:rsidRPr="007C25AE">
        <w:rPr>
          <w:noProof/>
          <w:lang w:val="en-US"/>
        </w:rPr>
        <w:t xml:space="preserve">hydrotrope </w:t>
      </w:r>
      <w:r w:rsidR="007C25AE" w:rsidRPr="007C25AE">
        <w:rPr>
          <w:rFonts w:hint="eastAsia"/>
          <w:noProof/>
          <w:lang w:val="en-US"/>
        </w:rPr>
        <w:t>–</w:t>
      </w:r>
      <w:r w:rsidR="007C25AE" w:rsidRPr="007C25AE">
        <w:rPr>
          <w:noProof/>
          <w:lang w:val="en-US"/>
        </w:rPr>
        <w:t>oil solutions: water</w:t>
      </w:r>
      <w:r w:rsidR="007C25AE" w:rsidRPr="007C25AE">
        <w:rPr>
          <w:rFonts w:hint="eastAsia"/>
          <w:noProof/>
          <w:lang w:val="en-US"/>
        </w:rPr>
        <w:t>–</w:t>
      </w:r>
      <w:r w:rsidR="007C25AE" w:rsidRPr="007C25AE">
        <w:rPr>
          <w:noProof/>
          <w:lang w:val="en-US"/>
        </w:rPr>
        <w:t>2-butoxyethanol</w:t>
      </w:r>
      <w:r w:rsidR="007C25AE" w:rsidRPr="007C25AE">
        <w:rPr>
          <w:rFonts w:hint="eastAsia"/>
          <w:noProof/>
          <w:lang w:val="en-US"/>
        </w:rPr>
        <w:t>–</w:t>
      </w:r>
      <w:r w:rsidR="007C25AE" w:rsidRPr="007C25AE">
        <w:rPr>
          <w:noProof/>
          <w:lang w:val="en-US"/>
        </w:rPr>
        <w:t>toluene</w:t>
      </w:r>
      <w:r>
        <w:rPr>
          <w:noProof/>
          <w:lang w:val="en-US"/>
        </w:rPr>
        <w:t xml:space="preserve"> // </w:t>
      </w:r>
      <w:r w:rsidR="007C25AE" w:rsidRPr="007C25AE">
        <w:rPr>
          <w:noProof/>
          <w:lang w:val="en-US"/>
        </w:rPr>
        <w:t>Journal of Molecular Liquids</w:t>
      </w:r>
      <w:r>
        <w:rPr>
          <w:noProof/>
          <w:lang w:val="en-US"/>
        </w:rPr>
        <w:t>. 20</w:t>
      </w:r>
      <w:r w:rsidR="007C25AE">
        <w:rPr>
          <w:noProof/>
          <w:lang w:val="en-US"/>
        </w:rPr>
        <w:t>21</w:t>
      </w:r>
      <w:r>
        <w:rPr>
          <w:noProof/>
          <w:lang w:val="en-US"/>
        </w:rPr>
        <w:t xml:space="preserve">. Vol. </w:t>
      </w:r>
      <w:r w:rsidRPr="00006265">
        <w:rPr>
          <w:noProof/>
          <w:lang w:val="en-US"/>
        </w:rPr>
        <w:t>3</w:t>
      </w:r>
      <w:r w:rsidR="007C25AE">
        <w:rPr>
          <w:noProof/>
          <w:lang w:val="en-US"/>
        </w:rPr>
        <w:t>44</w:t>
      </w:r>
      <w:r>
        <w:rPr>
          <w:noProof/>
          <w:lang w:val="en-US"/>
        </w:rPr>
        <w:t>. P</w:t>
      </w:r>
      <w:r w:rsidRPr="00006265">
        <w:rPr>
          <w:noProof/>
          <w:lang w:val="en-US"/>
        </w:rPr>
        <w:t>.</w:t>
      </w:r>
      <w:r w:rsidR="00C11045">
        <w:rPr>
          <w:noProof/>
          <w:lang w:val="en-US"/>
        </w:rPr>
        <w:t> </w:t>
      </w:r>
      <w:r w:rsidR="007C25AE" w:rsidRPr="007C25AE">
        <w:rPr>
          <w:noProof/>
          <w:lang w:val="en-US"/>
        </w:rPr>
        <w:t>117683</w:t>
      </w:r>
      <w:r w:rsidRPr="00006265">
        <w:rPr>
          <w:noProof/>
          <w:lang w:val="en-US"/>
        </w:rPr>
        <w:t>.</w:t>
      </w:r>
    </w:p>
    <w:sectPr w:rsidR="00006265" w:rsidRPr="00006265" w:rsidSect="001665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06265"/>
    <w:rsid w:val="000077C2"/>
    <w:rsid w:val="00054E2B"/>
    <w:rsid w:val="00063966"/>
    <w:rsid w:val="00086081"/>
    <w:rsid w:val="000E72D2"/>
    <w:rsid w:val="00101A1C"/>
    <w:rsid w:val="00103657"/>
    <w:rsid w:val="00106375"/>
    <w:rsid w:val="00116478"/>
    <w:rsid w:val="00130241"/>
    <w:rsid w:val="0013328C"/>
    <w:rsid w:val="001665E6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40565"/>
    <w:rsid w:val="0058211A"/>
    <w:rsid w:val="00590166"/>
    <w:rsid w:val="005D022B"/>
    <w:rsid w:val="005E5BE9"/>
    <w:rsid w:val="006374E0"/>
    <w:rsid w:val="0069427D"/>
    <w:rsid w:val="006F7A19"/>
    <w:rsid w:val="007213E1"/>
    <w:rsid w:val="00775389"/>
    <w:rsid w:val="00797838"/>
    <w:rsid w:val="007B7FEA"/>
    <w:rsid w:val="007C25AE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11045"/>
    <w:rsid w:val="00CD00B1"/>
    <w:rsid w:val="00D22306"/>
    <w:rsid w:val="00D23909"/>
    <w:rsid w:val="00D42542"/>
    <w:rsid w:val="00D8121C"/>
    <w:rsid w:val="00E22189"/>
    <w:rsid w:val="00E2703E"/>
    <w:rsid w:val="00E74069"/>
    <w:rsid w:val="00EB1F49"/>
    <w:rsid w:val="00F865B3"/>
    <w:rsid w:val="00FB1509"/>
    <w:rsid w:val="00FB5DF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0A785"/>
  <w15:docId w15:val="{676072FA-F651-4597-9A7C-F260B569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B7F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B7F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B7F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B7F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B7F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B7F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7F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7F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7F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B5D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5D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EC235B-1536-4303-AE2B-22640B14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Пользователь Windows</cp:lastModifiedBy>
  <cp:revision>3</cp:revision>
  <dcterms:created xsi:type="dcterms:W3CDTF">2024-02-14T12:36:00Z</dcterms:created>
  <dcterms:modified xsi:type="dcterms:W3CDTF">2024-02-14T12:39:00Z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