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hd w:val="clear" w:color="auto" w:fill="FFFFFF"/>
        <w:jc w:val="center"/>
        <w:rPr/>
      </w:pPr>
      <w:r>
        <w:rPr>
          <w:b/>
          <w:color w:val="000000"/>
        </w:rPr>
        <w:t xml:space="preserve"> </w:t>
      </w:r>
      <w:r>
        <w:rPr>
          <w:b/>
          <w:color w:val="000000"/>
        </w:rPr>
        <w:t>Супрамолекулярный</w:t>
      </w:r>
      <w:r>
        <w:rPr>
          <w:b/>
          <w:color w:val="000000"/>
        </w:rPr>
        <w:t xml:space="preserve"> комплекс высокометоксилированного пектина с </w:t>
      </w:r>
      <w:r>
        <w:rPr>
          <w:b/>
          <w:color w:val="000000"/>
        </w:rPr>
        <w:t>липосомами фосфатидилхолина</w:t>
      </w:r>
      <w:r>
        <w:rPr>
          <w:b/>
          <w:color w:val="FF0000"/>
        </w:rPr>
        <w:t xml:space="preserve"> </w:t>
      </w:r>
      <w:r>
        <w:rPr>
          <w:b/>
          <w:color w:val="000000"/>
        </w:rPr>
        <w:t>как система доставки комбинации биологически активных веществ: структура и стабильность</w:t>
      </w:r>
    </w:p>
    <w:p>
      <w:pPr>
        <w:pStyle w:val="Normal"/>
        <w:pBdr/>
        <w:shd w:val="clear" w:color="auto" w:fill="FFFFFF"/>
        <w:jc w:val="center"/>
        <w:rPr/>
      </w:pPr>
      <w:r>
        <w:rPr>
          <w:b/>
          <w:i/>
          <w:color w:val="000000"/>
        </w:rPr>
        <w:t xml:space="preserve">Юн </w:t>
      </w:r>
      <w:r>
        <w:rPr>
          <w:b/>
          <w:i/>
        </w:rPr>
        <w:t>И</w:t>
      </w:r>
      <w:r>
        <w:rPr>
          <w:b/>
          <w:i/>
          <w:color w:val="000000"/>
        </w:rPr>
        <w:t>.Р.</w:t>
      </w:r>
      <w:r>
        <w:rPr>
          <w:b/>
          <w:i/>
          <w:color w:val="000000"/>
          <w:vertAlign w:val="superscript"/>
        </w:rPr>
        <w:t>1</w:t>
      </w:r>
      <w:r>
        <w:rPr>
          <w:b/>
          <w:i/>
          <w:color w:val="000000"/>
          <w:position w:val="0"/>
          <w:sz w:val="24"/>
          <w:vertAlign w:val="baseline"/>
        </w:rPr>
        <w:t xml:space="preserve">, </w:t>
      </w:r>
      <w:r>
        <w:rPr>
          <w:rFonts w:ascii="Times New Roman" w:hAnsi="Times New Roman"/>
          <w:b/>
          <w:i/>
          <w:color w:val="000000"/>
          <w:position w:val="0"/>
          <w:sz w:val="24"/>
          <w:sz w:val="24"/>
          <w:szCs w:val="24"/>
          <w:vertAlign w:val="baseline"/>
        </w:rPr>
        <w:t>Миронов</w:t>
      </w:r>
      <w:r>
        <w:rPr>
          <w:rFonts w:ascii="Times New Roman" w:hAnsi="Times New Roman"/>
          <w:b/>
          <w:i/>
          <w:color w:val="000000"/>
          <w:position w:val="0"/>
          <w:sz w:val="24"/>
          <w:sz w:val="24"/>
          <w:szCs w:val="24"/>
          <w:vertAlign w:val="baseline"/>
          <w:lang w:val="en-US"/>
        </w:rPr>
        <w:t> </w:t>
      </w:r>
      <w:r>
        <w:rPr>
          <w:rFonts w:ascii="Times New Roman" w:hAnsi="Times New Roman"/>
          <w:b/>
          <w:i/>
          <w:color w:val="000000"/>
          <w:position w:val="0"/>
          <w:sz w:val="24"/>
          <w:sz w:val="24"/>
          <w:szCs w:val="24"/>
          <w:vertAlign w:val="baseline"/>
        </w:rPr>
        <w:t>И.</w:t>
      </w:r>
      <w:r>
        <w:rPr>
          <w:rFonts w:ascii="Times New Roman" w:hAnsi="Times New Roman"/>
          <w:b/>
          <w:i/>
          <w:color w:val="000000"/>
          <w:position w:val="0"/>
          <w:sz w:val="24"/>
          <w:sz w:val="24"/>
          <w:szCs w:val="24"/>
          <w:vertAlign w:val="baseline"/>
        </w:rPr>
        <w:t>К.</w:t>
      </w:r>
      <w:r>
        <w:rPr>
          <w:rFonts w:ascii="Times New Roman" w:hAnsi="Times New Roman"/>
          <w:b/>
          <w:i/>
          <w:color w:val="000000"/>
          <w:sz w:val="24"/>
          <w:szCs w:val="24"/>
          <w:vertAlign w:val="superscript"/>
        </w:rPr>
        <w:t>1,</w:t>
      </w:r>
      <w:r>
        <w:rPr>
          <w:rFonts w:ascii="Times New Roman" w:hAnsi="Times New Roman"/>
          <w:b/>
          <w:i/>
          <w:color w:val="000000"/>
          <w:sz w:val="24"/>
          <w:szCs w:val="24"/>
          <w:vertAlign w:val="superscript"/>
        </w:rPr>
        <w:t>2</w:t>
      </w:r>
      <w:r>
        <w:rPr>
          <w:rFonts w:ascii="Times New Roman" w:hAnsi="Times New Roman"/>
          <w:b/>
          <w:i/>
          <w:color w:val="000000"/>
          <w:position w:val="0"/>
          <w:sz w:val="24"/>
          <w:sz w:val="24"/>
          <w:szCs w:val="24"/>
          <w:vertAlign w:val="baseline"/>
        </w:rPr>
        <w:t>,</w:t>
      </w:r>
      <w:r>
        <w:rPr>
          <w:b/>
          <w:i/>
          <w:color w:val="000000"/>
        </w:rPr>
        <w:t xml:space="preserve"> </w:t>
      </w:r>
      <w:r>
        <w:rPr>
          <w:b/>
          <w:i/>
        </w:rPr>
        <w:t>Зеликина</w:t>
      </w:r>
      <w:r>
        <w:rPr>
          <w:b/>
          <w:i/>
          <w:lang w:val="en-US"/>
        </w:rPr>
        <w:t> </w:t>
      </w:r>
      <w:r>
        <w:rPr>
          <w:b/>
          <w:i/>
        </w:rPr>
        <w:t>Д.В.</w:t>
      </w:r>
      <w:r>
        <w:rPr>
          <w:b/>
          <w:i/>
          <w:vertAlign w:val="superscript"/>
        </w:rPr>
        <w:t xml:space="preserve">2 </w:t>
      </w:r>
      <w:r>
        <w:rPr>
          <w:b/>
          <w:i/>
          <w:position w:val="0"/>
          <w:sz w:val="24"/>
          <w:vertAlign w:val="baseline"/>
        </w:rPr>
        <w:t xml:space="preserve">, </w:t>
      </w:r>
      <w:r>
        <w:rPr>
          <w:b/>
          <w:i/>
          <w:color w:val="000000"/>
        </w:rPr>
        <w:t>Мартиросова</w:t>
      </w:r>
      <w:r>
        <w:rPr>
          <w:b/>
          <w:i/>
          <w:color w:val="000000"/>
          <w:lang w:val="en-US"/>
        </w:rPr>
        <w:t> </w:t>
      </w:r>
      <w:r>
        <w:rPr>
          <w:b/>
          <w:i/>
          <w:color w:val="000000"/>
        </w:rPr>
        <w:t>Е.И.</w:t>
      </w:r>
      <w:r>
        <w:rPr>
          <w:b/>
          <w:i/>
          <w:color w:val="000000"/>
          <w:vertAlign w:val="superscript"/>
        </w:rPr>
        <w:t>2</w:t>
      </w:r>
      <w:r>
        <w:rPr>
          <w:rFonts w:ascii="Times New Roman" w:hAnsi="Times New Roman"/>
          <w:b/>
          <w:i/>
          <w:color w:val="000000"/>
          <w:sz w:val="24"/>
          <w:szCs w:val="24"/>
          <w:vertAlign w:val="superscript"/>
        </w:rPr>
        <w:t xml:space="preserve"> </w:t>
      </w:r>
    </w:p>
    <w:p>
      <w:pPr>
        <w:pStyle w:val="Normal"/>
        <w:pBdr/>
        <w:shd w:val="clear" w:color="auto" w:fill="FFFFFF"/>
        <w:jc w:val="center"/>
        <w:rPr>
          <w:i/>
          <w:i/>
          <w:iCs/>
          <w:color w:val="000000"/>
        </w:rPr>
      </w:pPr>
      <w:r>
        <w:rPr>
          <w:i/>
          <w:iCs/>
          <w:color w:val="000000"/>
        </w:rPr>
        <w:t>Студент, 3 курс бакалавриата</w:t>
      </w:r>
    </w:p>
    <w:p>
      <w:pPr>
        <w:pStyle w:val="Normal"/>
        <w:pBdr/>
        <w:shd w:val="clear" w:color="auto" w:fill="FFFFFF"/>
        <w:jc w:val="center"/>
        <w:rPr>
          <w:b/>
          <w:b/>
          <w:i/>
          <w:i/>
          <w:color w:val="000000"/>
        </w:rPr>
      </w:pPr>
      <w:r>
        <w:rPr>
          <w:i/>
          <w:color w:val="000000"/>
          <w:vertAlign w:val="superscript"/>
        </w:rPr>
        <w:t>1</w:t>
      </w:r>
      <w:r>
        <w:rPr>
          <w:i/>
          <w:color w:val="000000"/>
        </w:rPr>
        <w:t>Российский химико-технологический университет им. Д.И. Менделеева, Москва, Россия</w:t>
      </w:r>
    </w:p>
    <w:p>
      <w:pPr>
        <w:pStyle w:val="Normal"/>
        <w:pBdr/>
        <w:shd w:val="clear" w:color="auto" w:fill="FFFFFF"/>
        <w:jc w:val="center"/>
        <w:rPr>
          <w:color w:val="000000"/>
        </w:rPr>
      </w:pPr>
      <w:r>
        <w:rPr>
          <w:i/>
          <w:color w:val="000000"/>
          <w:vertAlign w:val="superscript"/>
        </w:rPr>
        <w:t>2</w:t>
      </w:r>
      <w:r>
        <w:rPr>
          <w:i/>
          <w:color w:val="000000"/>
        </w:rPr>
        <w:t>Институт биохимической физики им. Н.М. Эмануэля РАН, Москва, Россия</w:t>
      </w:r>
    </w:p>
    <w:p>
      <w:pPr>
        <w:pStyle w:val="Normal"/>
        <w:pBdr/>
        <w:shd w:val="clear" w:color="auto" w:fill="FFFFFF"/>
        <w:jc w:val="center"/>
        <w:rPr>
          <w:color w:val="000000"/>
          <w:lang w:val="en-US"/>
        </w:rPr>
      </w:pPr>
      <w:r>
        <w:rPr>
          <w:i/>
          <w:color w:val="000000"/>
          <w:lang w:val="en-US"/>
        </w:rPr>
        <w:t>E-mail: irina.yun2003@yandex.ru</w:t>
      </w:r>
    </w:p>
    <w:p>
      <w:pPr>
        <w:pStyle w:val="Normal"/>
        <w:pBdr/>
        <w:shd w:val="clear" w:color="auto" w:fill="FFFFFF"/>
        <w:ind w:firstLine="397"/>
        <w:jc w:val="both"/>
        <w:rPr>
          <w:color w:val="000000"/>
        </w:rPr>
      </w:pPr>
      <w:r>
        <w:rPr/>
        <w:t xml:space="preserve">В настоящее время общепризнано, что дефицит ряда биологически активных веществ, так называемых нутрицевтиков, в организме человека может приводить к развитию различных хронических неинфекционных заболеваний [1]. Обогащение пищевых продуктов низкомолекулярными нутрицевтиками </w:t>
      </w:r>
      <w:r>
        <w:rPr>
          <w:color w:val="000000"/>
        </w:rPr>
        <w:t xml:space="preserve">в адекватном количестве от их рекомендуемой суточной нормы потребления </w:t>
      </w:r>
      <w:r>
        <w:rPr/>
        <w:t xml:space="preserve">является эффективной стратегией в противодействии дефициту питательных веществ. К нутрицевтикам, в частности, относятся: антиоксиданты (эфирные масла, β-каротин); фосфолипиды, незаменимые полиненасыщенные жирные кислоты (ПНЖК) - омега-3 и омега-6. </w:t>
      </w:r>
      <w:r>
        <w:rPr>
          <w:color w:val="000000"/>
        </w:rPr>
        <w:t>Использование фосфатидилхолина (ФХ) сои позволяет создавать липосомальные формы, подходящие для инкапсулирования ряда гидрофобных нутрицевтиков. Дополнительное покрытые липосомальных форм нутрицевтиков такими полисахаридами, как хитозан, пектин, обладающих мукоадгезивной активностью, способно обеспечить им максимальную стабильность и повысить биодоступность, а также биоусвоение в желудочно-кишечном тракте</w:t>
      </w:r>
      <w:r>
        <w:rPr/>
        <w:t xml:space="preserve"> человека [2]</w:t>
      </w:r>
      <w:r>
        <w:rPr>
          <w:color w:val="000000"/>
        </w:rPr>
        <w:t xml:space="preserve">. </w:t>
      </w:r>
    </w:p>
    <w:p>
      <w:pPr>
        <w:pStyle w:val="Normal"/>
        <w:pBdr/>
        <w:shd w:val="clear" w:color="auto" w:fill="FFFFFF"/>
        <w:ind w:firstLine="397"/>
        <w:jc w:val="both"/>
        <w:rPr/>
      </w:pPr>
      <w:r>
        <w:rPr/>
        <w:t>Целью данной работы была оценка возможности использования пектина со степенью метоксилирования 75 % в качестве основы для создания системы доставки липосом ФХ, нагруженных длинноцепочечными омега-3 ПНЖК из рыбьего жира, β-каротином и эфирным маслом гвоздики (рН 7.0, ионная сила 0.001 М).</w:t>
      </w:r>
    </w:p>
    <w:p>
      <w:pPr>
        <w:pStyle w:val="Normal"/>
        <w:pBdr/>
        <w:shd w:val="clear" w:color="auto" w:fill="FFFFFF"/>
        <w:ind w:firstLine="397"/>
        <w:jc w:val="both"/>
        <w:rPr/>
      </w:pPr>
      <w:r>
        <w:rPr/>
        <w:t>Было показано, что в основе природы формирования полученного супрамолекулярного комплекса лежат</w:t>
      </w:r>
      <w:r>
        <w:rPr>
          <w:color w:val="000000"/>
        </w:rPr>
        <w:t xml:space="preserve"> </w:t>
      </w:r>
      <w:r>
        <w:rPr>
          <w:color w:val="000000"/>
        </w:rPr>
        <w:t>как</w:t>
      </w:r>
      <w:r>
        <w:rPr>
          <w:color w:val="000000"/>
        </w:rPr>
        <w:t xml:space="preserve"> электростатические</w:t>
      </w:r>
      <w:r>
        <w:rPr>
          <w:color w:val="000000"/>
        </w:rPr>
        <w:t>, так и гидрофобные</w:t>
      </w:r>
      <w:r>
        <w:rPr>
          <w:color w:val="FF0000"/>
        </w:rPr>
        <w:t xml:space="preserve"> </w:t>
      </w:r>
      <w:r>
        <w:rPr/>
        <w:t xml:space="preserve">взаимодействия. </w:t>
      </w:r>
      <w:r>
        <w:rPr>
          <w:color w:val="000000"/>
        </w:rPr>
        <w:t>Об</w:t>
      </w:r>
      <w:r>
        <w:rPr>
          <w:color w:val="000000"/>
        </w:rPr>
        <w:t xml:space="preserve"> </w:t>
      </w:r>
      <w:r>
        <w:rPr>
          <w:color w:val="000000"/>
        </w:rPr>
        <w:t>этом</w:t>
      </w:r>
      <w:r>
        <w:rPr>
          <w:color w:val="000000"/>
        </w:rPr>
        <w:t xml:space="preserve"> с</w:t>
      </w:r>
      <w:r>
        <w:rPr/>
        <w:t xml:space="preserve">видетельствует практически двукратное уменьшение дзета потенциала макромолекул пектина (-45.6 мВ) в комплексе с липосомами </w:t>
      </w:r>
      <w:r>
        <w:rPr>
          <w:color w:val="000000"/>
        </w:rPr>
        <w:t>цвиттер-иона</w:t>
      </w:r>
      <w:r>
        <w:rPr>
          <w:color w:val="000000"/>
        </w:rPr>
        <w:t xml:space="preserve"> </w:t>
      </w:r>
      <w:r>
        <w:rPr>
          <w:color w:val="000000"/>
        </w:rPr>
        <w:t>ФХ (-21.1 мВ)</w:t>
      </w:r>
      <w:r>
        <w:rPr>
          <w:color w:val="000000"/>
        </w:rPr>
        <w:t>,</w:t>
      </w:r>
      <w:r>
        <w:rPr/>
        <w:t xml:space="preserve"> </w:t>
      </w:r>
      <w:r>
        <w:rPr>
          <w:color w:val="000000"/>
        </w:rPr>
        <w:t xml:space="preserve">а также </w:t>
      </w:r>
      <w:r>
        <w:rPr>
          <w:color w:val="000000"/>
        </w:rPr>
        <w:t>значительно</w:t>
      </w:r>
      <w:r>
        <w:rPr>
          <w:color w:val="000000"/>
        </w:rPr>
        <w:t>е</w:t>
      </w:r>
      <w:r>
        <w:rPr>
          <w:color w:val="000000"/>
        </w:rPr>
        <w:t xml:space="preserve"> повышени</w:t>
      </w:r>
      <w:r>
        <w:rPr>
          <w:color w:val="000000"/>
        </w:rPr>
        <w:t>е</w:t>
      </w:r>
      <w:r>
        <w:rPr>
          <w:color w:val="000000"/>
        </w:rPr>
        <w:t xml:space="preserve"> микровязкости в глубине </w:t>
      </w:r>
      <w:r>
        <w:rPr>
          <w:color w:val="000000"/>
        </w:rPr>
        <w:t>их</w:t>
      </w:r>
      <w:r>
        <w:rPr>
          <w:color w:val="000000"/>
        </w:rPr>
        <w:t xml:space="preserve"> бислоя,</w:t>
      </w:r>
      <w:r>
        <w:rPr>
          <w:color w:val="000000"/>
        </w:rPr>
        <w:t xml:space="preserve"> зафиксированное методом ЭПР, и обусловленное </w:t>
      </w:r>
      <w:r>
        <w:rPr>
          <w:color w:val="000000"/>
        </w:rPr>
        <w:t>встраивани</w:t>
      </w:r>
      <w:r>
        <w:rPr>
          <w:color w:val="000000"/>
        </w:rPr>
        <w:t>ем</w:t>
      </w:r>
      <w:r>
        <w:rPr>
          <w:color w:val="000000"/>
        </w:rPr>
        <w:t xml:space="preserve"> в </w:t>
      </w:r>
      <w:r>
        <w:rPr>
          <w:color w:val="000000"/>
        </w:rPr>
        <w:t>него</w:t>
      </w:r>
      <w:r>
        <w:rPr>
          <w:color w:val="000000"/>
        </w:rPr>
        <w:t xml:space="preserve"> метильных групп пектина</w:t>
      </w:r>
      <w:r>
        <w:rPr>
          <w:color w:val="000000"/>
        </w:rPr>
        <w:t>.</w:t>
      </w:r>
      <w:r>
        <w:rPr/>
        <w:t xml:space="preserve"> </w:t>
      </w:r>
      <w:r>
        <w:rPr>
          <w:color w:val="000000"/>
        </w:rPr>
        <w:t xml:space="preserve">С использование метода лазерного светорассеяния были определены структурные и термодинамические параметры супрамолекулярного комплекса пектин-липосомы. </w:t>
      </w:r>
      <w:r>
        <w:rPr>
          <w:color w:val="000000"/>
        </w:rPr>
        <w:t xml:space="preserve">Было также установлено, что </w:t>
      </w:r>
      <w:r>
        <w:rPr>
          <w:color w:val="000000"/>
        </w:rPr>
        <w:t>б</w:t>
      </w:r>
      <w:r>
        <w:rPr>
          <w:color w:val="000000"/>
        </w:rPr>
        <w:t>лагодаря покрыт</w:t>
      </w:r>
      <w:r>
        <w:rPr>
          <w:color w:val="000000"/>
        </w:rPr>
        <w:t>ию</w:t>
      </w:r>
      <w:r>
        <w:rPr>
          <w:color w:val="000000"/>
        </w:rPr>
        <w:t xml:space="preserve"> липосом пектином, </w:t>
      </w:r>
      <w:r>
        <w:rPr>
          <w:color w:val="000000"/>
        </w:rPr>
        <w:t xml:space="preserve">супрамолекулярный комплекс </w:t>
      </w:r>
      <w:r>
        <w:rPr>
          <w:color w:val="000000"/>
        </w:rPr>
        <w:t>проявлял лучшую защиту ПНЖК от окисления по сравнению с одним из наиболее эффективных растительных антиоксидантов таким, как эфирное масло гвоздики</w:t>
      </w:r>
      <w:r>
        <w:rPr>
          <w:color w:val="000000"/>
        </w:rPr>
        <w:t>.</w:t>
      </w:r>
      <w:r>
        <w:rPr>
          <w:color w:val="000000"/>
        </w:rPr>
        <w:t xml:space="preserve"> </w:t>
      </w:r>
      <w:r>
        <w:rPr>
          <w:color w:val="000000"/>
        </w:rPr>
        <w:t>Это</w:t>
      </w:r>
      <w:r>
        <w:rPr>
          <w:color w:val="000000"/>
        </w:rPr>
        <w:t xml:space="preserve"> отражалось практически в двукратном уменьшении </w:t>
      </w:r>
      <w:r>
        <w:rPr>
          <w:color w:val="000000"/>
        </w:rPr>
        <w:t>количества</w:t>
      </w:r>
      <w:r>
        <w:rPr>
          <w:color w:val="000000"/>
        </w:rPr>
        <w:t xml:space="preserve"> вторичного продукта окисления липидов, малонового диальдегида, по сравнению с найденным в присутствии эфирного масла гвоздики.  </w:t>
      </w:r>
    </w:p>
    <w:p>
      <w:pPr>
        <w:pStyle w:val="Normal"/>
        <w:pBdr/>
        <w:shd w:val="clear" w:color="auto" w:fill="FFFFFF"/>
        <w:ind w:firstLine="397"/>
        <w:jc w:val="both"/>
        <w:rPr>
          <w:i/>
          <w:i/>
          <w:iCs/>
          <w:color w:val="000000"/>
        </w:rPr>
      </w:pPr>
      <w:r>
        <w:rPr>
          <w:i/>
          <w:iCs/>
          <w:color w:val="000000"/>
        </w:rPr>
        <w:t xml:space="preserve">Исследование выполнено при финансовой поддержке Российского научного фонда, грант № 21-16-00085. </w:t>
      </w:r>
    </w:p>
    <w:p>
      <w:pPr>
        <w:pStyle w:val="Normal"/>
        <w:pBdr/>
        <w:shd w:val="clear" w:color="auto" w:fill="FFFFFF"/>
        <w:jc w:val="center"/>
        <w:rPr>
          <w:b/>
          <w:b/>
          <w:color w:val="000000"/>
          <w:lang w:val="en-US"/>
        </w:rPr>
      </w:pPr>
      <w:r>
        <w:rPr>
          <w:b/>
          <w:color w:val="000000"/>
        </w:rPr>
        <w:t>Литература</w:t>
      </w:r>
    </w:p>
    <w:p>
      <w:pPr>
        <w:pStyle w:val="Normal"/>
        <w:pBdr/>
        <w:shd w:val="clear" w:color="auto" w:fill="FFFFFF"/>
        <w:jc w:val="both"/>
        <w:rPr>
          <w:lang w:val="en-US"/>
        </w:rPr>
      </w:pPr>
      <w:r>
        <w:rPr>
          <w:lang w:val="en-US"/>
        </w:rPr>
        <w:t xml:space="preserve">1. Ahmmed M.K., Ahmmed F., Tian H., Carne A., Bekhit A.E.D. Marine omega-3 (n-3) phospholipids: A comprehensive review of their properties, sources, bioavailability, and relation to brain health // </w:t>
      </w:r>
      <w:r>
        <w:rPr>
          <w:color w:val="000000"/>
          <w:shd w:fill="FFFFFF" w:val="clear"/>
          <w:lang w:val="en-US"/>
        </w:rPr>
        <w:t>CRFSFS</w:t>
      </w:r>
      <w:r>
        <w:rPr>
          <w:lang w:val="en-US"/>
        </w:rPr>
        <w:t xml:space="preserve">. 2020. Vol. 19. P. 64–123.  </w:t>
      </w:r>
    </w:p>
    <w:p>
      <w:pPr>
        <w:pStyle w:val="Normal"/>
        <w:pBdr/>
        <w:shd w:val="clear" w:color="auto" w:fill="FFFFFF"/>
        <w:ind w:left="60" w:hanging="0"/>
        <w:jc w:val="both"/>
        <w:rPr/>
      </w:pPr>
      <w:r>
        <w:rPr>
          <w:lang w:val="en-US"/>
        </w:rPr>
        <w:t xml:space="preserve">2. Klemetsrud T., Jonassen H., Hiorth M., Kjoniksen A.-L., Smistad G. Studies on pectin-coated liposomes and their interaction with mucin // </w:t>
      </w:r>
      <w:r>
        <w:rPr>
          <w:color w:val="363D47"/>
          <w:shd w:fill="FFFFFF" w:val="clear"/>
          <w:lang w:val="en-US"/>
        </w:rPr>
        <w:t xml:space="preserve">Colloids Surf. </w:t>
      </w:r>
      <w:r>
        <w:rPr>
          <w:color w:val="363D47"/>
          <w:shd w:fill="FFFFFF" w:val="clear"/>
        </w:rPr>
        <w:t>В</w:t>
      </w:r>
      <w:r>
        <w:rPr>
          <w:color w:val="363D47"/>
          <w:shd w:fill="FFFFFF" w:val="clear"/>
          <w:lang w:val="en-US"/>
        </w:rPr>
        <w:t>.</w:t>
      </w:r>
      <w:r>
        <w:rPr>
          <w:lang w:val="en-US"/>
        </w:rPr>
        <w:t xml:space="preserve"> 2013. Vol. 103. P. 158-165.</w:t>
      </w:r>
    </w:p>
    <w:sectPr>
      <w:type w:val="nextPage"/>
      <w:pgSz w:w="11906" w:h="16838"/>
      <w:pgMar w:left="1361" w:right="1361" w:header="0" w:top="1134" w:footer="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Liberation Sans">
    <w:altName w:val="Arial"/>
    <w:charset w:val="cc"/>
    <w:family w:val="swiss"/>
    <w:pitch w:val="variable"/>
  </w:font>
  <w:font w:name="Georgia">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91c38"/>
    <w:pPr>
      <w:widowControl/>
      <w:bidi w:val="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keepLines/>
      <w:spacing w:before="280" w:after="80"/>
      <w:outlineLvl w:val="2"/>
    </w:pPr>
    <w:rPr>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Абзац списка Знак"/>
    <w:basedOn w:val="DefaultParagraphFont"/>
    <w:link w:val="a5"/>
    <w:uiPriority w:val="34"/>
    <w:qFormat/>
    <w:locked/>
    <w:rsid w:val="004a26a3"/>
    <w:rPr/>
  </w:style>
  <w:style w:type="character" w:styleId="PlaceholderText">
    <w:name w:val="Placeholder Text"/>
    <w:basedOn w:val="DefaultParagraphFont"/>
    <w:uiPriority w:val="99"/>
    <w:semiHidden/>
    <w:qFormat/>
    <w:rsid w:val="00e22189"/>
    <w:rPr>
      <w:color w:val="808080"/>
    </w:rPr>
  </w:style>
  <w:style w:type="character" w:styleId="Style9">
    <w:name w:val="Интернет-ссылка"/>
    <w:basedOn w:val="DefaultParagraphFont"/>
    <w:uiPriority w:val="99"/>
    <w:unhideWhenUsed/>
    <w:rsid w:val="00f865b3"/>
    <w:rPr>
      <w:color w:val="0000FF" w:themeColor="hyperlink"/>
      <w:u w:val="single"/>
    </w:rPr>
  </w:style>
  <w:style w:type="character" w:styleId="11" w:customStyle="1">
    <w:name w:val="Неразрешенное упоминание1"/>
    <w:basedOn w:val="DefaultParagraphFont"/>
    <w:uiPriority w:val="99"/>
    <w:semiHidden/>
    <w:unhideWhenUsed/>
    <w:qFormat/>
    <w:rsid w:val="00f865b3"/>
    <w:rPr>
      <w:color w:val="605E5C"/>
      <w:shd w:fill="E1DFDD" w:val="clear"/>
    </w:rPr>
  </w:style>
  <w:style w:type="character" w:styleId="HTML" w:customStyle="1">
    <w:name w:val="Стандартный HTML Знак"/>
    <w:basedOn w:val="DefaultParagraphFont"/>
    <w:link w:val="HTML"/>
    <w:uiPriority w:val="99"/>
    <w:semiHidden/>
    <w:qFormat/>
    <w:rsid w:val="00152c66"/>
    <w:rPr>
      <w:rFonts w:ascii="Courier New" w:hAnsi="Courier New" w:eastAsia="Times New Roman" w:cs="Courier New"/>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Style10">
    <w:name w:val="Заголовок"/>
    <w:basedOn w:val="Normal"/>
    <w:next w:val="Style11"/>
    <w:qFormat/>
    <w:pPr>
      <w:keepNext w:val="true"/>
      <w:spacing w:before="240" w:after="120"/>
    </w:pPr>
    <w:rPr>
      <w:rFonts w:ascii="Liberation Sans" w:hAnsi="Liberation Sans" w:eastAsia="Microsoft YaHei" w:cs="Arial Unicode MS"/>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cs="Arial Unicode MS"/>
    </w:rPr>
  </w:style>
  <w:style w:type="paragraph" w:styleId="Style13">
    <w:name w:val="Caption"/>
    <w:basedOn w:val="Normal"/>
    <w:qFormat/>
    <w:pPr>
      <w:suppressLineNumbers/>
      <w:spacing w:before="120" w:after="120"/>
    </w:pPr>
    <w:rPr>
      <w:rFonts w:cs="Arial Unicode MS"/>
      <w:i/>
      <w:iCs/>
      <w:sz w:val="24"/>
      <w:szCs w:val="24"/>
    </w:rPr>
  </w:style>
  <w:style w:type="paragraph" w:styleId="Style14">
    <w:name w:val="Указатель"/>
    <w:basedOn w:val="Normal"/>
    <w:qFormat/>
    <w:pPr>
      <w:suppressLineNumbers/>
    </w:pPr>
    <w:rPr>
      <w:rFonts w:cs="Arial Unicode MS"/>
    </w:rPr>
  </w:style>
  <w:style w:type="paragraph" w:styleId="Style15">
    <w:name w:val="Title"/>
    <w:basedOn w:val="Normal"/>
    <w:next w:val="Normal"/>
    <w:uiPriority w:val="10"/>
    <w:qFormat/>
    <w:pPr>
      <w:keepNext w:val="true"/>
      <w:keepLines/>
      <w:spacing w:before="480" w:after="120"/>
    </w:pPr>
    <w:rPr>
      <w:b/>
      <w:sz w:val="72"/>
      <w:szCs w:val="72"/>
    </w:rPr>
  </w:style>
  <w:style w:type="paragraph" w:styleId="Style16">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link w:val="a6"/>
    <w:uiPriority w:val="34"/>
    <w:qFormat/>
    <w:rsid w:val="00106375"/>
    <w:pPr>
      <w:spacing w:before="0" w:after="0"/>
      <w:ind w:left="720" w:hanging="0"/>
      <w:contextualSpacing/>
    </w:pPr>
    <w:rPr/>
  </w:style>
  <w:style w:type="paragraph" w:styleId="NoSpacing">
    <w:name w:val="No Spacing"/>
    <w:uiPriority w:val="1"/>
    <w:qFormat/>
    <w:rsid w:val="00ff1903"/>
    <w:pPr>
      <w:widowControl/>
      <w:bidi w:val="0"/>
      <w:jc w:val="left"/>
    </w:pPr>
    <w:rPr>
      <w:rFonts w:cs="Times New Roman" w:ascii="Calibri" w:hAnsi="Calibri" w:eastAsia="Calibri"/>
      <w:color w:val="auto"/>
      <w:kern w:val="0"/>
      <w:sz w:val="22"/>
      <w:szCs w:val="22"/>
      <w:lang w:val="en-US" w:eastAsia="en-US" w:bidi="en-US"/>
    </w:rPr>
  </w:style>
  <w:style w:type="paragraph" w:styleId="HTMLPreformatted">
    <w:name w:val="HTML Preformatted"/>
    <w:basedOn w:val="Normal"/>
    <w:link w:val="HTML0"/>
    <w:uiPriority w:val="99"/>
    <w:semiHidden/>
    <w:unhideWhenUsed/>
    <w:qFormat/>
    <w:rsid w:val="00152c66"/>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491C-8BA6-46AA-A84E-1C5C57E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Application>Ultra_Office/6.2.3.2$Windows_x86 LibreOffice_project/</Application>
  <Pages>1</Pages>
  <Words>398</Words>
  <Characters>2941</Characters>
  <CharactersWithSpaces>3333</CharactersWithSpaces>
  <Paragraphs>13</Paragraphs>
  <Company>Lomonosov MSU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2024-02-29T14:27:00Z</dcterms:created>
  <dc:creator>user</dc:creator>
  <dc:description/>
  <dc:language>ru-RU</dc:language>
  <cp:lastModifiedBy/>
  <dcterms:modified xsi:type="dcterms:W3CDTF">2024-02-29T20:14:23Z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Lomonosov MSU</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ndeley Citation Style_1">
    <vt:lpwstr>http://www.zotero.org/styles/gost-r-7-0-5-2008-numeric</vt:lpwstr>
  </property>
  <property fmtid="{D5CDD505-2E9C-101B-9397-08002B2CF9AE}" pid="8" name="Mendeley Document_1">
    <vt:lpwstr>True</vt:lpwstr>
  </property>
  <property fmtid="{D5CDD505-2E9C-101B-9397-08002B2CF9AE}" pid="9" name="Mendeley Recent Style Id 0_1">
    <vt:lpwstr>http://www.zotero.org/styles/chicago-author-date</vt:lpwstr>
  </property>
  <property fmtid="{D5CDD505-2E9C-101B-9397-08002B2CF9AE}" pid="10" name="Mendeley Recent Style Id 1_1">
    <vt:lpwstr>http://www.zotero.org/styles/harvard-cite-them-right</vt:lpwstr>
  </property>
  <property fmtid="{D5CDD505-2E9C-101B-9397-08002B2CF9AE}" pid="11" name="Mendeley Recent Style Id 2_1">
    <vt:lpwstr>http://www.zotero.org/styles/ieee</vt:lpwstr>
  </property>
  <property fmtid="{D5CDD505-2E9C-101B-9397-08002B2CF9AE}" pid="12" name="Mendeley Recent Style Id 3_1">
    <vt:lpwstr>http://www.zotero.org/styles/modern-humanities-research-association</vt:lpwstr>
  </property>
  <property fmtid="{D5CDD505-2E9C-101B-9397-08002B2CF9AE}" pid="13" name="Mendeley Recent Style Id 4_1">
    <vt:lpwstr>http://www.zotero.org/styles/modern-language-association</vt:lpwstr>
  </property>
  <property fmtid="{D5CDD505-2E9C-101B-9397-08002B2CF9AE}" pid="14" name="Mendeley Recent Style Id 5_1">
    <vt:lpwstr>http://www.zotero.org/styles/nature</vt:lpwstr>
  </property>
  <property fmtid="{D5CDD505-2E9C-101B-9397-08002B2CF9AE}" pid="15" name="Mendeley Recent Style Id 6_1">
    <vt:lpwstr>http://www.zotero.org/styles/russian-chemical-reviews</vt:lpwstr>
  </property>
  <property fmtid="{D5CDD505-2E9C-101B-9397-08002B2CF9AE}" pid="16" name="Mendeley Recent Style Id 7_1">
    <vt:lpwstr>http://www.zotero.org/styles/gost-r-7-0-5-2008</vt:lpwstr>
  </property>
  <property fmtid="{D5CDD505-2E9C-101B-9397-08002B2CF9AE}" pid="17" name="Mendeley Recent Style Id 8_1">
    <vt:lpwstr>http://www.zotero.org/styles/gost-r-7-0-5-2008-numeric</vt:lpwstr>
  </property>
  <property fmtid="{D5CDD505-2E9C-101B-9397-08002B2CF9AE}" pid="18" name="Mendeley Recent Style Id 9_1">
    <vt:lpwstr>http://csl.mendeley.com/styles/7762213/gost-r-7-0-5-2008-numeric-3</vt:lpwstr>
  </property>
  <property fmtid="{D5CDD505-2E9C-101B-9397-08002B2CF9AE}" pid="19" name="Mendeley Recent Style Name 0_1">
    <vt:lpwstr>Chicago Manual of Style 17th edition (author-date)</vt:lpwstr>
  </property>
  <property fmtid="{D5CDD505-2E9C-101B-9397-08002B2CF9AE}" pid="20" name="Mendeley Recent Style Name 1_1">
    <vt:lpwstr>Cite Them Right 10th edition - Harvard</vt:lpwstr>
  </property>
  <property fmtid="{D5CDD505-2E9C-101B-9397-08002B2CF9AE}" pid="21" name="Mendeley Recent Style Name 2_1">
    <vt:lpwstr>IEEE</vt:lpwstr>
  </property>
  <property fmtid="{D5CDD505-2E9C-101B-9397-08002B2CF9AE}" pid="22" name="Mendeley Recent Style Name 3_1">
    <vt:lpwstr>Modern Humanities Research Association 3rd edition (note with bibliography)</vt:lpwstr>
  </property>
  <property fmtid="{D5CDD505-2E9C-101B-9397-08002B2CF9AE}" pid="23" name="Mendeley Recent Style Name 4_1">
    <vt:lpwstr>Modern Language Association 8th edition</vt:lpwstr>
  </property>
  <property fmtid="{D5CDD505-2E9C-101B-9397-08002B2CF9AE}" pid="24" name="Mendeley Recent Style Name 5_1">
    <vt:lpwstr>Nature</vt:lpwstr>
  </property>
  <property fmtid="{D5CDD505-2E9C-101B-9397-08002B2CF9AE}" pid="25" name="Mendeley Recent Style Name 6_1">
    <vt:lpwstr>Russian Chemical Reviews</vt:lpwstr>
  </property>
  <property fmtid="{D5CDD505-2E9C-101B-9397-08002B2CF9AE}" pid="26" name="Mendeley Recent Style Name 7_1">
    <vt:lpwstr>Russian GOST R 7.0.5-2008 (Russian)</vt:lpwstr>
  </property>
  <property fmtid="{D5CDD505-2E9C-101B-9397-08002B2CF9AE}" pid="27" name="Mendeley Recent Style Name 8_1">
    <vt:lpwstr>Russian GOST R 7.0.5-2008 (numeric)</vt:lpwstr>
  </property>
  <property fmtid="{D5CDD505-2E9C-101B-9397-08002B2CF9AE}" pid="28" name="Mendeley Recent Style Name 9_1">
    <vt:lpwstr>Russian GOST R 7.0.5-2008 (numeric) - Alexander Dzuban</vt:lpwstr>
  </property>
  <property fmtid="{D5CDD505-2E9C-101B-9397-08002B2CF9AE}" pid="29" name="Mendeley Unique User Id_1">
    <vt:lpwstr>b09b180f-15e6-39a8-8e02-e401af1d2283</vt:lpwstr>
  </property>
  <property fmtid="{D5CDD505-2E9C-101B-9397-08002B2CF9AE}" pid="30" name="ScaleCrop">
    <vt:bool>0</vt:bool>
  </property>
  <property fmtid="{D5CDD505-2E9C-101B-9397-08002B2CF9AE}" pid="31" name="ShareDoc">
    <vt:bool>0</vt:bool>
  </property>
</Properties>
</file>