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Разработка полисахаридной системы доставки дексаметазон фосфата, сшитого сульфатом цинка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  <w:vertAlign w:val="superscript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Бокатый А.Н.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Дубашинская Н.В.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Скорик Ю.А.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Аспирант, 2 год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color w:val="000000"/>
          <w:rtl w:val="0"/>
        </w:rPr>
        <w:t xml:space="preserve">Институт высокомолекулярных соединений Российской академии наук,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Санкт-Петербург,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hyperlink r:id="rId7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qwezakura@yandex.ru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Одной из стратегий улучшения биофармацевтических свойств известных активных фармацевтических </w:t>
      </w:r>
      <w:r w:rsidDel="00000000" w:rsidR="00000000" w:rsidRPr="00000000">
        <w:rPr>
          <w:rtl w:val="0"/>
        </w:rPr>
        <w:t xml:space="preserve">ингредиентов</w:t>
      </w:r>
      <w:r w:rsidDel="00000000" w:rsidR="00000000" w:rsidRPr="00000000">
        <w:rPr>
          <w:color w:val="000000"/>
          <w:rtl w:val="0"/>
        </w:rPr>
        <w:t xml:space="preserve"> (АФИ) является разработка на основе нанотехнологий систем доставки лекарственных средств, например, в виде полимерных нано- и микрочастиц. Частицы в виде интерполимерных полиэлектролитных комплексов (ПЭК) на основе биоразлагаемых полимеров являются привлекательным выбором для доставки противовоспалительных средств в глаза [1]. Наночастицы на основе ПЭК разноименно заряженных полисахаридов – поликатионов хитозана и его производных с полианионами гиалуроновой кислоты перспективны ввиду низкой токсичности, биосовместимости и биоразлагаемости, возможности направленной доставки лекарственных средств (ЛС) за счет сродства природных компонентов к рецепторам тканей организма. В связи с этим актуальным является исследование, направленное на изучение образования ПЭК на основе природных полисахаридов для потенциального биомедицинского применения.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Работа направлена на изучение ПЭК водорастворимых разноименно заряженных полисахаридов для получения наноразмерных систем доставки ЛС. Решение такой цели приведет к (i) повышению эффективности и безопасности применения ЛС за счет увеличения биологической доступности и пролонгированного высвобождения, снижения дозы и частоты приема, что уменьшит сроки выздоровления и стоимость лечения, (ii) повышению стабильности (и соответственно сроков годности) ЛС за счет включения молекул активных фармацевтических субстанций в ПЭК, (iii) разработке простого и удобного способа получения наночастиц для доставки ЛС, который характеризуется высокой скоростью, хорошей воспроизводимостью, мягкими условиями получения.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Был выбран водорастворимый дексаметазонфосфат (DexP) в качестве модельного глюкокортикоида. DexP является одним из наиболее эффективных средств лечения воспалительных заболеваний, но его высокая системная токсичность, необходимость длительного курсового введения и дозозависимые тяжелые побочные эффекты ограничивают его медицинское применение [2]. Система доставки DexP представляла собой полиэлектролитный комплекс, полученный в результате интерполимерных взаимодействий между полианионом гиалуроновой кислоты и поликатионом диэтиламиноэтилхитозана с одновременным включением в комплекс ионов цинка в качестве сшивающего агента. Разработанные ПЭК имели гидродинамический диаметр 244 нм и ζ-потенциал +24,4 мВ; эффективность инкапсуляции и содержание DexP составляли 75,6% и 45,4 мкг/мг соответственно. Разработанные системы доставки DexP характеризовались как отличной адгезией к слизистой оболочке, так и пролонгированным высвобождением лекарственного средства (примерно 70% DexP высвобождалось в течение 10 часов). Эксперименты In vitro показали, что инкапсуляция DexP в наноносители полисахаридов не снижает его противовоспалительную активность по сравнению со свободным DexP.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Работа выполнена при финансовой поддержке РНФ, проект № 23-23-00148.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C.-H. Tsai, P.-Y. Wang, I.-C. Lin, H. Huang, G.-S. Liu, C.-L. Tseng, Ocular drug delivery: Role of degradable polymeric nanocarriers for ophthalmic application, International journal of molecular sciences 19(9) (2018)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</w:t>
      </w:r>
      <w:r w:rsidDel="00000000" w:rsidR="00000000" w:rsidRPr="00000000">
        <w:rPr>
          <w:rtl w:val="0"/>
        </w:rPr>
        <w:t xml:space="preserve">N.V. Dubashynskaya, A.N. Bokatyi, Y.A. Skorik, Dexamethasone conjugates: Synthetic approaches and medical prospects, Biomedicines 9(4) (2021)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qwezakur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GB+PeijaeKotqTekNjwpuI94w==">CgMxLjA4AHIhMW1OZXIyV1NlMFV1RmNZRndGRjNCWTNzTkY4aERITFQ0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http://www.zotero.org/styles/russian-chemical-reviews</vt:lpwstr>
  </property>
  <property fmtid="{D5CDD505-2E9C-101B-9397-08002B2CF9AE}" pid="4" name="Mendeley Recent Style Id 7_1">
    <vt:lpwstr>http://www.zotero.org/styles/gost-r-7-0-5-2008</vt:lpwstr>
  </property>
  <property fmtid="{D5CDD505-2E9C-101B-9397-08002B2CF9AE}" pid="5" name="Mendeley Recent Style Id 8_1">
    <vt:lpwstr>http://www.zotero.org/styles/gost-r-7-0-5-2008-numeric</vt:lpwstr>
  </property>
  <property fmtid="{D5CDD505-2E9C-101B-9397-08002B2CF9AE}" pid="6" name="Mendeley Recent Style Id 9_1">
    <vt:lpwstr>http://csl.mendeley.com/styles/7762213/gost-r-7-0-5-2008-numeric-3</vt:lpwstr>
  </property>
  <property fmtid="{D5CDD505-2E9C-101B-9397-08002B2CF9AE}" pid="7" name="Mendeley Recent Style Name 8_1">
    <vt:lpwstr>Russian GOST R 7.0.5-2008 (numeric)</vt:lpwstr>
  </property>
  <property fmtid="{D5CDD505-2E9C-101B-9397-08002B2CF9AE}" pid="8" name="Mendeley Recent Style Name 9_1">
    <vt:lpwstr>Russian GOST R 7.0.5-2008 (numeric) - Alexander Dzuban</vt:lpwstr>
  </property>
  <property fmtid="{D5CDD505-2E9C-101B-9397-08002B2CF9AE}" pid="9" name="Mendeley Recent Style Name 6_1">
    <vt:lpwstr>Russian Chemical Reviews</vt:lpwstr>
  </property>
  <property fmtid="{D5CDD505-2E9C-101B-9397-08002B2CF9AE}" pid="10" name="Mendeley Recent Style Name 7_1">
    <vt:lpwstr>Russian GOST R 7.0.5-2008 (Russian)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Unique User Id_1">
    <vt:lpwstr>b09b180f-15e6-39a8-8e02-e401af1d2283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Name 5_1">
    <vt:lpwstr>Nature</vt:lpwstr>
  </property>
  <property fmtid="{D5CDD505-2E9C-101B-9397-08002B2CF9AE}" pid="17" name="Mendeley Recent Style Name 2_1">
    <vt:lpwstr>IEEE</vt:lpwstr>
  </property>
  <property fmtid="{D5CDD505-2E9C-101B-9397-08002B2CF9AE}" pid="18" name="Mendeley Recent Style Name 3_1">
    <vt:lpwstr>Modern Humanities Research Association 3rd edition (note with bibliography)</vt:lpwstr>
  </property>
  <property fmtid="{D5CDD505-2E9C-101B-9397-08002B2CF9AE}" pid="19" name="Mendeley Recent Style Id 2_1">
    <vt:lpwstr>http://www.zotero.org/styles/ieee</vt:lpwstr>
  </property>
  <property fmtid="{D5CDD505-2E9C-101B-9397-08002B2CF9AE}" pid="20" name="Mendeley Recent Style Id 3_1">
    <vt:lpwstr>http://www.zotero.org/styles/modern-humanities-research-association</vt:lpwstr>
  </property>
  <property fmtid="{D5CDD505-2E9C-101B-9397-08002B2CF9AE}" pid="21" name="Mendeley Recent Style Id 4_1">
    <vt:lpwstr>http://www.zotero.org/styles/modern-language-association</vt:lpwstr>
  </property>
  <property fmtid="{D5CDD505-2E9C-101B-9397-08002B2CF9AE}" pid="22" name="Mendeley Recent Style Id 5_1">
    <vt:lpwstr>http://www.zotero.org/styles/nature</vt:lpwstr>
  </property>
  <property fmtid="{D5CDD505-2E9C-101B-9397-08002B2CF9AE}" pid="23" name="Mendeley Recent Style Id 0_1">
    <vt:lpwstr>http://www.zotero.org/styles/chicago-author-date</vt:lpwstr>
  </property>
  <property fmtid="{D5CDD505-2E9C-101B-9397-08002B2CF9AE}" pid="24" name="Mendeley Recent Style Id 1_1">
    <vt:lpwstr>http://www.zotero.org/styles/harvard-cite-them-right</vt:lpwstr>
  </property>
</Properties>
</file>