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68E1937" w:rsidR="00130241" w:rsidRDefault="00850E25" w:rsidP="00C67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Флуоресцентные и колориметрические «методы отпечатков пальцев» для распознавания образцов сыворотки крови</w:t>
      </w:r>
    </w:p>
    <w:p w14:paraId="00000002" w14:textId="73455FEB" w:rsidR="00130241" w:rsidRDefault="00850E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Устюжанин А.О</w:t>
      </w:r>
      <w:r w:rsidR="00EB1F49">
        <w:rPr>
          <w:b/>
          <w:i/>
          <w:color w:val="000000"/>
        </w:rPr>
        <w:t>.</w:t>
      </w:r>
    </w:p>
    <w:p w14:paraId="00000003" w14:textId="39886D90" w:rsidR="00130241" w:rsidRDefault="00850E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специалитета </w:t>
      </w:r>
    </w:p>
    <w:p w14:paraId="00000004" w14:textId="3F68BDD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13A985A0" w:rsidR="00CD00B1" w:rsidRDefault="00EB1F49" w:rsidP="00850E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850E25">
        <w:rPr>
          <w:i/>
          <w:color w:val="000000"/>
        </w:rPr>
        <w:t xml:space="preserve">mail: </w:t>
      </w:r>
      <w:r w:rsidR="00850E25">
        <w:rPr>
          <w:i/>
          <w:color w:val="000000"/>
          <w:u w:val="single"/>
          <w:lang w:val="en-US"/>
        </w:rPr>
        <w:t>oust</w:t>
      </w:r>
      <w:r w:rsidR="00850E25" w:rsidRPr="00850E25">
        <w:rPr>
          <w:i/>
          <w:color w:val="000000"/>
          <w:u w:val="single"/>
        </w:rPr>
        <w:t>74</w:t>
      </w:r>
      <w:r w:rsidR="00850E25">
        <w:rPr>
          <w:i/>
          <w:color w:val="000000"/>
          <w:u w:val="single"/>
          <w:lang w:val="en-US"/>
        </w:rPr>
        <w:t>sany</w:t>
      </w:r>
      <w:r w:rsidR="00850E25" w:rsidRPr="00850E25">
        <w:rPr>
          <w:i/>
          <w:color w:val="000000"/>
          <w:u w:val="single"/>
        </w:rPr>
        <w:t>@</w:t>
      </w:r>
      <w:r w:rsidR="00850E25">
        <w:rPr>
          <w:i/>
          <w:color w:val="000000"/>
          <w:u w:val="single"/>
          <w:lang w:val="en-US"/>
        </w:rPr>
        <w:t>mail</w:t>
      </w:r>
      <w:r w:rsidR="00850E25" w:rsidRPr="00850E25">
        <w:rPr>
          <w:i/>
          <w:color w:val="000000"/>
          <w:u w:val="single"/>
        </w:rPr>
        <w:t>.</w:t>
      </w:r>
      <w:r w:rsidR="00850E25">
        <w:rPr>
          <w:i/>
          <w:color w:val="000000"/>
          <w:u w:val="single"/>
          <w:lang w:val="en-US"/>
        </w:rPr>
        <w:t>ru</w:t>
      </w:r>
      <w:r>
        <w:rPr>
          <w:i/>
          <w:color w:val="000000"/>
        </w:rPr>
        <w:t xml:space="preserve"> </w:t>
      </w:r>
    </w:p>
    <w:p w14:paraId="6DF97D3F" w14:textId="40782C76" w:rsidR="009B2F80" w:rsidRDefault="00C67084" w:rsidP="00C67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E2111">
        <w:t>Для распознавания и классификации сложных объектов, например, для проверки подлинности и качества продукции</w:t>
      </w:r>
      <w:r>
        <w:t>,</w:t>
      </w:r>
      <w:r w:rsidRPr="00AE2111">
        <w:t xml:space="preserve"> применя</w:t>
      </w:r>
      <w:r>
        <w:t>ют</w:t>
      </w:r>
      <w:r w:rsidRPr="00AE2111">
        <w:t xml:space="preserve"> флуоресцентные и колориметрические методы «отпечатков пальцев».</w:t>
      </w:r>
    </w:p>
    <w:p w14:paraId="5ACC9B30" w14:textId="21EF6987" w:rsidR="00D24B69" w:rsidRDefault="00D24B69" w:rsidP="00C67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Обычно сигналы </w:t>
      </w:r>
      <w:r w:rsidR="00B37E43">
        <w:t>оптических сенсорных элементов из</w:t>
      </w:r>
      <w:r>
        <w:t xml:space="preserve">меряют </w:t>
      </w:r>
      <w:r w:rsidR="00B37E43">
        <w:t>однократно</w:t>
      </w:r>
      <w:r>
        <w:t xml:space="preserve">, однако </w:t>
      </w:r>
      <w:r w:rsidR="00B37E43">
        <w:t>в последнее время получает распространение</w:t>
      </w:r>
      <w:r>
        <w:t xml:space="preserve"> кинетический вариант метода </w:t>
      </w:r>
      <w:r w:rsidR="00B37E43">
        <w:t>«</w:t>
      </w:r>
      <w:r>
        <w:t>отпечатков пальцев</w:t>
      </w:r>
      <w:r w:rsidR="00B37E43">
        <w:t>»</w:t>
      </w:r>
      <w:r w:rsidR="00D16D8F" w:rsidRPr="00D16D8F">
        <w:t xml:space="preserve"> [1]</w:t>
      </w:r>
      <w:r>
        <w:t>. В этом варианте с</w:t>
      </w:r>
      <w:r w:rsidRPr="002631A0">
        <w:t xml:space="preserve">игналы </w:t>
      </w:r>
      <w:r w:rsidR="00B37E43">
        <w:t>из</w:t>
      </w:r>
      <w:r w:rsidRPr="002631A0">
        <w:t>меняются</w:t>
      </w:r>
      <w:r>
        <w:t xml:space="preserve"> с течением времени</w:t>
      </w:r>
      <w:r w:rsidRPr="002631A0">
        <w:t>, что позволяет получить больше входных данных</w:t>
      </w:r>
      <w:r>
        <w:t xml:space="preserve">, чем в </w:t>
      </w:r>
      <w:r w:rsidR="00743C93">
        <w:t>статических методах</w:t>
      </w:r>
      <w:r w:rsidR="00B37E43">
        <w:t>, что</w:t>
      </w:r>
      <w:r w:rsidR="00743C93">
        <w:t xml:space="preserve"> </w:t>
      </w:r>
      <w:r w:rsidRPr="002631A0">
        <w:t>позволя</w:t>
      </w:r>
      <w:r w:rsidR="00743C93">
        <w:t>ет</w:t>
      </w:r>
      <w:r w:rsidRPr="002631A0">
        <w:t xml:space="preserve"> </w:t>
      </w:r>
      <w:r>
        <w:t>распознавать</w:t>
      </w:r>
      <w:r w:rsidRPr="002631A0">
        <w:t xml:space="preserve"> объекты более правильно.</w:t>
      </w:r>
    </w:p>
    <w:p w14:paraId="333F7229" w14:textId="5744DBB5" w:rsidR="00D24B69" w:rsidRDefault="00D24B69" w:rsidP="00C67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E2111">
        <w:t xml:space="preserve">Мы использовали </w:t>
      </w:r>
      <w:r>
        <w:t>кинетический вариант метода «отпечатков пальцев»</w:t>
      </w:r>
      <w:r w:rsidRPr="00AE2111">
        <w:t xml:space="preserve"> для распознавания образцов сывороток крови. Использовали два класса сывороток: больных раком пациентов </w:t>
      </w:r>
      <w:r>
        <w:t>(</w:t>
      </w:r>
      <w:r w:rsidRPr="00AE2111">
        <w:t xml:space="preserve">8 </w:t>
      </w:r>
      <w:r>
        <w:t>образцов)</w:t>
      </w:r>
      <w:r w:rsidR="00B37E43">
        <w:t xml:space="preserve"> и</w:t>
      </w:r>
      <w:r>
        <w:t xml:space="preserve"> </w:t>
      </w:r>
      <w:r w:rsidRPr="00AE2111">
        <w:t>здоровых доноров</w:t>
      </w:r>
      <w:r>
        <w:t xml:space="preserve"> (6 образцов). </w:t>
      </w:r>
      <w:r w:rsidR="00B37E43">
        <w:t xml:space="preserve">Для каждого образца </w:t>
      </w:r>
      <w:r>
        <w:t>делали по 6 параллельных измерений</w:t>
      </w:r>
      <w:r w:rsidRPr="00AE2111">
        <w:t xml:space="preserve">. </w:t>
      </w:r>
      <w:r>
        <w:t>Изучили</w:t>
      </w:r>
      <w:r w:rsidRPr="00AE2111">
        <w:t xml:space="preserve"> ин</w:t>
      </w:r>
      <w:r>
        <w:t>д</w:t>
      </w:r>
      <w:r w:rsidRPr="00AE2111">
        <w:t xml:space="preserve">икаторные реакции с участием красителей </w:t>
      </w:r>
      <w:r w:rsidRPr="00AE2111">
        <w:rPr>
          <w:b/>
        </w:rPr>
        <w:t xml:space="preserve">1 </w:t>
      </w:r>
      <w:r w:rsidRPr="00AE2111">
        <w:t xml:space="preserve">– </w:t>
      </w:r>
      <w:r w:rsidRPr="00AE2111">
        <w:rPr>
          <w:b/>
        </w:rPr>
        <w:t>5</w:t>
      </w:r>
      <w:r w:rsidRPr="00AE2111">
        <w:t xml:space="preserve"> (схема)</w:t>
      </w:r>
      <w:r>
        <w:t xml:space="preserve">. </w:t>
      </w:r>
      <w:r w:rsidRPr="00C83D15">
        <w:t xml:space="preserve">В некоторые системы </w:t>
      </w:r>
      <w:r>
        <w:t>вводили</w:t>
      </w:r>
      <w:r w:rsidRPr="00C83D15">
        <w:t xml:space="preserve"> окислитель</w:t>
      </w:r>
      <w:r>
        <w:t>, в других предполагали нуклеофильное замещение атома хлора красителя компонентами образца.</w:t>
      </w:r>
      <w:r w:rsidRPr="00C83D15">
        <w:t xml:space="preserve"> </w:t>
      </w:r>
      <w:r>
        <w:t>Из</w:t>
      </w:r>
      <w:r w:rsidRPr="00C83D15">
        <w:t>ме</w:t>
      </w:r>
      <w:r>
        <w:t>ряли</w:t>
      </w:r>
      <w:r w:rsidRPr="00C83D15">
        <w:t xml:space="preserve"> интенсивности флуоресценции и </w:t>
      </w:r>
      <w:r>
        <w:t>поглощения (отражения) реакционных смесей при различных временах протекания реакций (до 60 мин)</w:t>
      </w:r>
      <w:r w:rsidRPr="00C83D15">
        <w:t>.</w:t>
      </w:r>
    </w:p>
    <w:p w14:paraId="60E6B232" w14:textId="19A785B5" w:rsidR="00D24B69" w:rsidRDefault="003F59CB" w:rsidP="00C67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F529F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5813363" wp14:editId="7468C8A0">
            <wp:simplePos x="0" y="0"/>
            <wp:positionH relativeFrom="margin">
              <wp:posOffset>710565</wp:posOffset>
            </wp:positionH>
            <wp:positionV relativeFrom="paragraph">
              <wp:posOffset>269875</wp:posOffset>
            </wp:positionV>
            <wp:extent cx="4064000" cy="18954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F3F33" w14:textId="6013E542" w:rsidR="009B2F80" w:rsidRPr="00D93C94" w:rsidRDefault="009B2F80" w:rsidP="00D93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E90222A" w14:textId="6C9661B9"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6F7CCE78" w14:textId="417406C8" w:rsidR="00FF1903" w:rsidRPr="0051647A" w:rsidRDefault="003F59CB" w:rsidP="00075E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center"/>
        <w:rPr>
          <w:color w:val="000000"/>
        </w:rPr>
      </w:pPr>
      <w:r>
        <w:rPr>
          <w:color w:val="000000"/>
        </w:rPr>
        <w:t>Структуры</w:t>
      </w:r>
      <w:r w:rsidR="0051647A">
        <w:rPr>
          <w:color w:val="000000"/>
        </w:rPr>
        <w:t xml:space="preserve"> красителей</w:t>
      </w:r>
      <w:r w:rsidR="0051647A" w:rsidRPr="0051647A">
        <w:rPr>
          <w:color w:val="000000"/>
        </w:rPr>
        <w:t xml:space="preserve"> </w:t>
      </w:r>
      <w:r w:rsidR="0051647A" w:rsidRPr="0051647A">
        <w:rPr>
          <w:b/>
          <w:color w:val="000000"/>
        </w:rPr>
        <w:t>1</w:t>
      </w:r>
      <w:r w:rsidR="0051647A" w:rsidRPr="0051647A">
        <w:rPr>
          <w:color w:val="000000"/>
        </w:rPr>
        <w:t xml:space="preserve"> –</w:t>
      </w:r>
      <w:r w:rsidR="00B37E43" w:rsidRPr="00075ED1">
        <w:rPr>
          <w:color w:val="000000"/>
        </w:rPr>
        <w:t xml:space="preserve"> </w:t>
      </w:r>
      <w:r w:rsidR="0051647A" w:rsidRPr="0051647A">
        <w:rPr>
          <w:b/>
          <w:color w:val="000000"/>
        </w:rPr>
        <w:t>5</w:t>
      </w:r>
      <w:r w:rsidR="00B37E43" w:rsidRPr="00075ED1">
        <w:rPr>
          <w:b/>
          <w:color w:val="000000"/>
        </w:rPr>
        <w:t>.</w:t>
      </w:r>
    </w:p>
    <w:p w14:paraId="6D9E6F3B" w14:textId="3A316ED6" w:rsidR="00D93C94" w:rsidRDefault="00265B50" w:rsidP="00265B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E2111">
        <w:t xml:space="preserve">Наилучшую правильность </w:t>
      </w:r>
      <w:r>
        <w:t>распознавания</w:t>
      </w:r>
      <w:r w:rsidRPr="00AE2111">
        <w:t xml:space="preserve"> </w:t>
      </w:r>
      <w:r>
        <w:t>показала</w:t>
      </w:r>
      <w:r w:rsidRPr="00AE2111">
        <w:t xml:space="preserve"> система с </w:t>
      </w:r>
      <w:r>
        <w:t xml:space="preserve">красителем </w:t>
      </w:r>
      <w:r>
        <w:rPr>
          <w:b/>
        </w:rPr>
        <w:t>1</w:t>
      </w:r>
      <w:r w:rsidRPr="00AE2111">
        <w:t xml:space="preserve"> без окислителя</w:t>
      </w:r>
      <w:r>
        <w:t>, которая составила</w:t>
      </w:r>
      <w:r w:rsidRPr="00AE2111">
        <w:t xml:space="preserve"> 98% в случае обработки данных методом линейного дискриминантного анализа (ЛДА) и 99.</w:t>
      </w:r>
      <w:r>
        <w:t>3</w:t>
      </w:r>
      <w:r>
        <w:rPr>
          <w:rFonts w:cstheme="minorHAnsi"/>
        </w:rPr>
        <w:t>±</w:t>
      </w:r>
      <w:r w:rsidRPr="00AE2111">
        <w:t>0.</w:t>
      </w:r>
      <w:r>
        <w:t xml:space="preserve">3 </w:t>
      </w:r>
      <w:r w:rsidRPr="00AE2111">
        <w:t xml:space="preserve">% </w:t>
      </w:r>
      <w:r>
        <w:t>при использовании</w:t>
      </w:r>
      <w:r w:rsidRPr="00AE2111">
        <w:t xml:space="preserve"> метода логи</w:t>
      </w:r>
      <w:r w:rsidR="00B37E43">
        <w:t>сти</w:t>
      </w:r>
      <w:r w:rsidRPr="00AE2111">
        <w:t xml:space="preserve">ческой регрессии. </w:t>
      </w:r>
      <w:r>
        <w:t>Высокая</w:t>
      </w:r>
      <w:r w:rsidRPr="00AE2111">
        <w:t xml:space="preserve"> правильность </w:t>
      </w:r>
      <w:r>
        <w:t xml:space="preserve">достигнута также для системы с красителем </w:t>
      </w:r>
      <w:r w:rsidRPr="00075ED1">
        <w:rPr>
          <w:b/>
        </w:rPr>
        <w:t>1</w:t>
      </w:r>
      <w:r>
        <w:t xml:space="preserve"> </w:t>
      </w:r>
      <w:r w:rsidR="00B37E43">
        <w:t>в присутствии</w:t>
      </w:r>
      <w:r w:rsidR="00B37E43" w:rsidRPr="00AE2111">
        <w:t xml:space="preserve"> </w:t>
      </w:r>
      <w:r w:rsidRPr="00AE2111">
        <w:rPr>
          <w:lang w:val="en-US"/>
        </w:rPr>
        <w:t>H</w:t>
      </w:r>
      <w:r w:rsidRPr="00AE2111">
        <w:rPr>
          <w:vertAlign w:val="subscript"/>
        </w:rPr>
        <w:t>2</w:t>
      </w:r>
      <w:r w:rsidRPr="00AE2111">
        <w:rPr>
          <w:lang w:val="en-US"/>
        </w:rPr>
        <w:t>O</w:t>
      </w:r>
      <w:r w:rsidRPr="00AE2111">
        <w:rPr>
          <w:vertAlign w:val="subscript"/>
        </w:rPr>
        <w:t>2</w:t>
      </w:r>
      <w:r w:rsidRPr="00AE2111">
        <w:t xml:space="preserve"> – 95</w:t>
      </w:r>
      <w:r>
        <w:t xml:space="preserve"> </w:t>
      </w:r>
      <w:r w:rsidRPr="00AE2111">
        <w:t xml:space="preserve">% </w:t>
      </w:r>
      <w:r>
        <w:t>(</w:t>
      </w:r>
      <w:r w:rsidRPr="00AE2111">
        <w:t>при использовании ЛДА</w:t>
      </w:r>
      <w:r>
        <w:t>)</w:t>
      </w:r>
      <w:r w:rsidRPr="00AE2111">
        <w:t>.</w:t>
      </w:r>
    </w:p>
    <w:p w14:paraId="0603D2D5" w14:textId="1575E88D" w:rsidR="00D93C94" w:rsidRDefault="00E07D3B" w:rsidP="00E07D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Таким образом, показана возможность использования флуоресцентных и колориметрических методов «отпечатков пальцев» для распознавания сывороток крови человека</w:t>
      </w:r>
      <w:r>
        <w:rPr>
          <w:color w:val="000000"/>
        </w:rPr>
        <w:t xml:space="preserve">. Подобраны системы, позволяющие это делать с </w:t>
      </w:r>
      <w:r w:rsidR="00B37E43">
        <w:rPr>
          <w:color w:val="000000"/>
        </w:rPr>
        <w:t>высокой</w:t>
      </w:r>
      <w:r>
        <w:rPr>
          <w:color w:val="000000"/>
        </w:rPr>
        <w:t xml:space="preserve"> правильностью.</w:t>
      </w:r>
    </w:p>
    <w:p w14:paraId="3AE2F7B9" w14:textId="77777777" w:rsidR="003F59CB" w:rsidRDefault="00EB1F49" w:rsidP="00075E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FF5C1BB" w14:textId="77777777" w:rsidR="003F59CB" w:rsidRPr="00075ED1" w:rsidRDefault="003F5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3486C755" w14:textId="7DAD23B1" w:rsidR="00116478" w:rsidRPr="00B37E43" w:rsidRDefault="003F5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828EC">
        <w:rPr>
          <w:color w:val="000000"/>
        </w:rPr>
        <w:t xml:space="preserve">1. </w:t>
      </w:r>
      <w:r w:rsidRPr="003F59CB">
        <w:rPr>
          <w:lang w:val="en-US"/>
        </w:rPr>
        <w:t>Pypin</w:t>
      </w:r>
      <w:r w:rsidRPr="00B828EC">
        <w:t xml:space="preserve"> </w:t>
      </w:r>
      <w:r w:rsidRPr="003F59CB">
        <w:rPr>
          <w:lang w:val="en-US"/>
        </w:rPr>
        <w:t>A</w:t>
      </w:r>
      <w:r w:rsidRPr="00B828EC">
        <w:t>.</w:t>
      </w:r>
      <w:r w:rsidRPr="003F59CB">
        <w:rPr>
          <w:lang w:val="en-US"/>
        </w:rPr>
        <w:t>A</w:t>
      </w:r>
      <w:r w:rsidRPr="00B828EC">
        <w:t xml:space="preserve">.; </w:t>
      </w:r>
      <w:r w:rsidRPr="003F59CB">
        <w:rPr>
          <w:lang w:val="en-US"/>
        </w:rPr>
        <w:t>Shik</w:t>
      </w:r>
      <w:r w:rsidRPr="00B828EC">
        <w:t xml:space="preserve">, </w:t>
      </w:r>
      <w:r w:rsidRPr="003F59CB">
        <w:rPr>
          <w:lang w:val="en-US"/>
        </w:rPr>
        <w:t>A</w:t>
      </w:r>
      <w:r w:rsidRPr="00B828EC">
        <w:t>.</w:t>
      </w:r>
      <w:r w:rsidRPr="003F59CB">
        <w:rPr>
          <w:lang w:val="en-US"/>
        </w:rPr>
        <w:t>V</w:t>
      </w:r>
      <w:r w:rsidRPr="00B828EC">
        <w:t xml:space="preserve">.; </w:t>
      </w:r>
      <w:r w:rsidRPr="003F59CB">
        <w:rPr>
          <w:lang w:val="en-US"/>
        </w:rPr>
        <w:t>Stepanova</w:t>
      </w:r>
      <w:r w:rsidRPr="00B828EC">
        <w:t xml:space="preserve">, </w:t>
      </w:r>
      <w:r w:rsidRPr="003F59CB">
        <w:rPr>
          <w:lang w:val="en-US"/>
        </w:rPr>
        <w:t>I</w:t>
      </w:r>
      <w:r w:rsidRPr="00B828EC">
        <w:t>.</w:t>
      </w:r>
      <w:r w:rsidRPr="003F59CB">
        <w:rPr>
          <w:lang w:val="en-US"/>
        </w:rPr>
        <w:t>A</w:t>
      </w:r>
      <w:r w:rsidRPr="00B828EC">
        <w:t xml:space="preserve">.; </w:t>
      </w:r>
      <w:r w:rsidRPr="003F59CB">
        <w:rPr>
          <w:lang w:val="en-US"/>
        </w:rPr>
        <w:t>Doroshenko</w:t>
      </w:r>
      <w:r w:rsidRPr="00B828EC">
        <w:t xml:space="preserve">, </w:t>
      </w:r>
      <w:r w:rsidRPr="003F59CB">
        <w:rPr>
          <w:lang w:val="en-US"/>
        </w:rPr>
        <w:t>I</w:t>
      </w:r>
      <w:r w:rsidRPr="00B828EC">
        <w:t>.</w:t>
      </w:r>
      <w:r w:rsidRPr="003F59CB">
        <w:rPr>
          <w:lang w:val="en-US"/>
        </w:rPr>
        <w:t>A</w:t>
      </w:r>
      <w:r w:rsidRPr="00B828EC">
        <w:t xml:space="preserve">.; </w:t>
      </w:r>
      <w:r w:rsidRPr="003F59CB">
        <w:rPr>
          <w:lang w:val="en-US"/>
        </w:rPr>
        <w:t>Podrugina</w:t>
      </w:r>
      <w:r w:rsidRPr="00B828EC">
        <w:t xml:space="preserve">, </w:t>
      </w:r>
      <w:r w:rsidRPr="003F59CB">
        <w:rPr>
          <w:lang w:val="en-US"/>
        </w:rPr>
        <w:t>T</w:t>
      </w:r>
      <w:r w:rsidRPr="00B828EC">
        <w:t>.</w:t>
      </w:r>
      <w:r w:rsidRPr="003F59CB">
        <w:rPr>
          <w:lang w:val="en-US"/>
        </w:rPr>
        <w:t>A</w:t>
      </w:r>
      <w:r w:rsidRPr="00B828EC">
        <w:t xml:space="preserve">.; </w:t>
      </w:r>
      <w:r w:rsidRPr="003F59CB">
        <w:rPr>
          <w:lang w:val="en-US"/>
        </w:rPr>
        <w:t>Beklemishev</w:t>
      </w:r>
      <w:r w:rsidRPr="00B828EC">
        <w:t xml:space="preserve">, </w:t>
      </w:r>
      <w:r w:rsidRPr="003F59CB">
        <w:rPr>
          <w:lang w:val="en-US"/>
        </w:rPr>
        <w:t>M</w:t>
      </w:r>
      <w:r w:rsidRPr="00B828EC">
        <w:t>.</w:t>
      </w:r>
      <w:r w:rsidRPr="003F59CB">
        <w:rPr>
          <w:lang w:val="en-US"/>
        </w:rPr>
        <w:t>K</w:t>
      </w:r>
      <w:r w:rsidRPr="00B828EC">
        <w:t xml:space="preserve">. </w:t>
      </w:r>
      <w:r w:rsidRPr="003F59CB">
        <w:rPr>
          <w:snapToGrid w:val="0"/>
          <w:lang w:val="en-US"/>
        </w:rPr>
        <w:t>A</w:t>
      </w:r>
      <w:r w:rsidRPr="00B828EC">
        <w:rPr>
          <w:snapToGrid w:val="0"/>
        </w:rPr>
        <w:t xml:space="preserve"> </w:t>
      </w:r>
      <w:r w:rsidRPr="003F59CB">
        <w:rPr>
          <w:snapToGrid w:val="0"/>
          <w:lang w:val="en-US"/>
        </w:rPr>
        <w:t>Reaction</w:t>
      </w:r>
      <w:r w:rsidRPr="00B828EC">
        <w:rPr>
          <w:snapToGrid w:val="0"/>
        </w:rPr>
        <w:t>-</w:t>
      </w:r>
      <w:r w:rsidRPr="003F59CB">
        <w:rPr>
          <w:snapToGrid w:val="0"/>
          <w:lang w:val="en-US"/>
        </w:rPr>
        <w:t>Based</w:t>
      </w:r>
      <w:r w:rsidRPr="00B828EC">
        <w:rPr>
          <w:snapToGrid w:val="0"/>
        </w:rPr>
        <w:t xml:space="preserve"> </w:t>
      </w:r>
      <w:r w:rsidRPr="003F59CB">
        <w:rPr>
          <w:snapToGrid w:val="0"/>
          <w:lang w:val="en-US"/>
        </w:rPr>
        <w:t>Optical</w:t>
      </w:r>
      <w:r w:rsidRPr="00B828EC">
        <w:rPr>
          <w:snapToGrid w:val="0"/>
        </w:rPr>
        <w:t xml:space="preserve"> </w:t>
      </w:r>
      <w:r w:rsidRPr="003F59CB">
        <w:rPr>
          <w:snapToGrid w:val="0"/>
          <w:lang w:val="en-US"/>
        </w:rPr>
        <w:t>Fingerprinting</w:t>
      </w:r>
      <w:r w:rsidRPr="00B828EC">
        <w:rPr>
          <w:snapToGrid w:val="0"/>
        </w:rPr>
        <w:t xml:space="preserve"> </w:t>
      </w:r>
      <w:r w:rsidRPr="003F59CB">
        <w:rPr>
          <w:snapToGrid w:val="0"/>
          <w:lang w:val="en-US"/>
        </w:rPr>
        <w:t>Strategy</w:t>
      </w:r>
      <w:r w:rsidRPr="00B828EC">
        <w:rPr>
          <w:snapToGrid w:val="0"/>
        </w:rPr>
        <w:t xml:space="preserve"> </w:t>
      </w:r>
      <w:r w:rsidRPr="003F59CB">
        <w:rPr>
          <w:snapToGrid w:val="0"/>
          <w:lang w:val="en-US"/>
        </w:rPr>
        <w:t>for</w:t>
      </w:r>
      <w:r w:rsidRPr="00B828EC">
        <w:rPr>
          <w:snapToGrid w:val="0"/>
        </w:rPr>
        <w:t xml:space="preserve"> </w:t>
      </w:r>
      <w:r w:rsidRPr="003F59CB">
        <w:rPr>
          <w:snapToGrid w:val="0"/>
          <w:lang w:val="en-US"/>
        </w:rPr>
        <w:t>the</w:t>
      </w:r>
      <w:r w:rsidRPr="00B828EC">
        <w:rPr>
          <w:snapToGrid w:val="0"/>
        </w:rPr>
        <w:t xml:space="preserve"> </w:t>
      </w:r>
      <w:r w:rsidRPr="003F59CB">
        <w:rPr>
          <w:snapToGrid w:val="0"/>
          <w:lang w:val="en-US"/>
        </w:rPr>
        <w:t>Recognition</w:t>
      </w:r>
      <w:r w:rsidRPr="00B828EC">
        <w:rPr>
          <w:snapToGrid w:val="0"/>
        </w:rPr>
        <w:t xml:space="preserve"> </w:t>
      </w:r>
      <w:r w:rsidRPr="003F59CB">
        <w:rPr>
          <w:snapToGrid w:val="0"/>
          <w:lang w:val="en-US"/>
        </w:rPr>
        <w:t>of</w:t>
      </w:r>
      <w:r w:rsidRPr="00B828EC">
        <w:rPr>
          <w:snapToGrid w:val="0"/>
        </w:rPr>
        <w:t xml:space="preserve"> </w:t>
      </w:r>
      <w:r w:rsidR="00E24A7B">
        <w:rPr>
          <w:snapToGrid w:val="0"/>
          <w:lang w:val="en-US"/>
        </w:rPr>
        <w:t>Fat</w:t>
      </w:r>
      <w:r w:rsidR="00E24A7B" w:rsidRPr="00B828EC">
        <w:rPr>
          <w:snapToGrid w:val="0"/>
        </w:rPr>
        <w:t>-</w:t>
      </w:r>
      <w:r w:rsidR="00E24A7B">
        <w:rPr>
          <w:snapToGrid w:val="0"/>
          <w:lang w:val="en-US"/>
        </w:rPr>
        <w:t>Soluble</w:t>
      </w:r>
      <w:r w:rsidR="00E24A7B" w:rsidRPr="00B828EC">
        <w:rPr>
          <w:snapToGrid w:val="0"/>
        </w:rPr>
        <w:t xml:space="preserve"> </w:t>
      </w:r>
      <w:r w:rsidR="00E24A7B">
        <w:rPr>
          <w:snapToGrid w:val="0"/>
          <w:lang w:val="en-US"/>
        </w:rPr>
        <w:t>Samples</w:t>
      </w:r>
      <w:r w:rsidR="00E24A7B" w:rsidRPr="00B828EC">
        <w:rPr>
          <w:snapToGrid w:val="0"/>
        </w:rPr>
        <w:t xml:space="preserve">: </w:t>
      </w:r>
      <w:r w:rsidR="00E24A7B">
        <w:rPr>
          <w:snapToGrid w:val="0"/>
          <w:lang w:val="en-US"/>
        </w:rPr>
        <w:t>Discrimina</w:t>
      </w:r>
      <w:r w:rsidRPr="003F59CB">
        <w:rPr>
          <w:snapToGrid w:val="0"/>
          <w:lang w:val="en-US"/>
        </w:rPr>
        <w:t>tion</w:t>
      </w:r>
      <w:r w:rsidRPr="00B828EC">
        <w:rPr>
          <w:snapToGrid w:val="0"/>
        </w:rPr>
        <w:t xml:space="preserve"> </w:t>
      </w:r>
      <w:r w:rsidRPr="003F59CB">
        <w:rPr>
          <w:snapToGrid w:val="0"/>
          <w:lang w:val="en-US"/>
        </w:rPr>
        <w:t>of</w:t>
      </w:r>
      <w:r w:rsidRPr="00B828EC">
        <w:rPr>
          <w:snapToGrid w:val="0"/>
        </w:rPr>
        <w:t xml:space="preserve"> </w:t>
      </w:r>
      <w:r w:rsidRPr="003F59CB">
        <w:rPr>
          <w:snapToGrid w:val="0"/>
          <w:lang w:val="en-US"/>
        </w:rPr>
        <w:t>Motor</w:t>
      </w:r>
      <w:r w:rsidRPr="00B828EC">
        <w:rPr>
          <w:snapToGrid w:val="0"/>
        </w:rPr>
        <w:t xml:space="preserve"> </w:t>
      </w:r>
      <w:r w:rsidRPr="003F59CB">
        <w:rPr>
          <w:snapToGrid w:val="0"/>
          <w:lang w:val="en-US"/>
        </w:rPr>
        <w:t>Oils</w:t>
      </w:r>
      <w:r w:rsidR="00B37E43" w:rsidRPr="00B828EC">
        <w:rPr>
          <w:snapToGrid w:val="0"/>
        </w:rPr>
        <w:t>.</w:t>
      </w:r>
      <w:r w:rsidRPr="00B828EC">
        <w:rPr>
          <w:snapToGrid w:val="0"/>
        </w:rPr>
        <w:t xml:space="preserve"> </w:t>
      </w:r>
      <w:r w:rsidRPr="00075ED1">
        <w:rPr>
          <w:i/>
          <w:snapToGrid w:val="0"/>
          <w:lang w:val="en-US"/>
        </w:rPr>
        <w:t>Sensors</w:t>
      </w:r>
      <w:r w:rsidR="00B37E43" w:rsidRPr="00075ED1">
        <w:rPr>
          <w:snapToGrid w:val="0"/>
          <w:lang w:val="en-US"/>
        </w:rPr>
        <w:t>,</w:t>
      </w:r>
      <w:r w:rsidRPr="00B37E43">
        <w:rPr>
          <w:snapToGrid w:val="0"/>
          <w:lang w:val="en-US"/>
        </w:rPr>
        <w:t xml:space="preserve"> 2023,</w:t>
      </w:r>
      <w:r w:rsidR="00743C93" w:rsidRPr="00B37E43">
        <w:rPr>
          <w:snapToGrid w:val="0"/>
          <w:lang w:val="en-US"/>
        </w:rPr>
        <w:t xml:space="preserve"> </w:t>
      </w:r>
      <w:r w:rsidR="00743C93">
        <w:rPr>
          <w:snapToGrid w:val="0"/>
          <w:lang w:val="en-US"/>
        </w:rPr>
        <w:t>Vol</w:t>
      </w:r>
      <w:r w:rsidR="00743C93" w:rsidRPr="00B37E43">
        <w:rPr>
          <w:snapToGrid w:val="0"/>
          <w:lang w:val="en-US"/>
        </w:rPr>
        <w:t>.</w:t>
      </w:r>
      <w:r w:rsidRPr="00B37E43">
        <w:rPr>
          <w:snapToGrid w:val="0"/>
          <w:lang w:val="en-US"/>
        </w:rPr>
        <w:t xml:space="preserve"> 23</w:t>
      </w:r>
      <w:r w:rsidR="00743C93" w:rsidRPr="00B37E43">
        <w:rPr>
          <w:snapToGrid w:val="0"/>
          <w:lang w:val="en-US"/>
        </w:rPr>
        <w:t>(18), 7682</w:t>
      </w:r>
      <w:r w:rsidRPr="00B37E43">
        <w:rPr>
          <w:snapToGrid w:val="0"/>
          <w:lang w:val="en-US"/>
        </w:rPr>
        <w:t xml:space="preserve">. </w:t>
      </w:r>
    </w:p>
    <w:sectPr w:rsidR="00116478" w:rsidRPr="00B37E4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2EF2F" w14:textId="77777777" w:rsidR="00A26DEB" w:rsidRDefault="00A26DEB" w:rsidP="00E07D3B">
      <w:r>
        <w:separator/>
      </w:r>
    </w:p>
  </w:endnote>
  <w:endnote w:type="continuationSeparator" w:id="0">
    <w:p w14:paraId="596F524C" w14:textId="77777777" w:rsidR="00A26DEB" w:rsidRDefault="00A26DEB" w:rsidP="00E0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23887" w14:textId="77777777" w:rsidR="00A26DEB" w:rsidRDefault="00A26DEB" w:rsidP="00E07D3B">
      <w:r>
        <w:separator/>
      </w:r>
    </w:p>
  </w:footnote>
  <w:footnote w:type="continuationSeparator" w:id="0">
    <w:p w14:paraId="28829293" w14:textId="77777777" w:rsidR="00A26DEB" w:rsidRDefault="00A26DEB" w:rsidP="00E0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ED1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65B50"/>
    <w:rsid w:val="0031361E"/>
    <w:rsid w:val="00391C38"/>
    <w:rsid w:val="003B76D6"/>
    <w:rsid w:val="003F59CB"/>
    <w:rsid w:val="004A26A3"/>
    <w:rsid w:val="004F0EDF"/>
    <w:rsid w:val="0051647A"/>
    <w:rsid w:val="00522BF1"/>
    <w:rsid w:val="00590166"/>
    <w:rsid w:val="0069427D"/>
    <w:rsid w:val="006F7A19"/>
    <w:rsid w:val="00743C93"/>
    <w:rsid w:val="00775389"/>
    <w:rsid w:val="00797838"/>
    <w:rsid w:val="007C36D8"/>
    <w:rsid w:val="007F2744"/>
    <w:rsid w:val="00850E25"/>
    <w:rsid w:val="008931BE"/>
    <w:rsid w:val="008C67E3"/>
    <w:rsid w:val="00921D45"/>
    <w:rsid w:val="009A66DB"/>
    <w:rsid w:val="009B2F80"/>
    <w:rsid w:val="009B3300"/>
    <w:rsid w:val="009F3380"/>
    <w:rsid w:val="00A02163"/>
    <w:rsid w:val="00A26DEB"/>
    <w:rsid w:val="00A314FE"/>
    <w:rsid w:val="00AB4693"/>
    <w:rsid w:val="00B37E43"/>
    <w:rsid w:val="00B828EC"/>
    <w:rsid w:val="00BA5B7C"/>
    <w:rsid w:val="00BF36F8"/>
    <w:rsid w:val="00BF4622"/>
    <w:rsid w:val="00C67084"/>
    <w:rsid w:val="00CD00B1"/>
    <w:rsid w:val="00CF529F"/>
    <w:rsid w:val="00D16D8F"/>
    <w:rsid w:val="00D22306"/>
    <w:rsid w:val="00D24B69"/>
    <w:rsid w:val="00D42542"/>
    <w:rsid w:val="00D8121C"/>
    <w:rsid w:val="00D93C94"/>
    <w:rsid w:val="00DF3EF9"/>
    <w:rsid w:val="00E07D3B"/>
    <w:rsid w:val="00E22189"/>
    <w:rsid w:val="00E24A7B"/>
    <w:rsid w:val="00E74069"/>
    <w:rsid w:val="00EB1F49"/>
    <w:rsid w:val="00F865B3"/>
    <w:rsid w:val="00FB1509"/>
    <w:rsid w:val="00FD69A0"/>
    <w:rsid w:val="00FE7D95"/>
    <w:rsid w:val="00FF1903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MDPI61Citation">
    <w:name w:val="MDPI_6.1_Citation"/>
    <w:qFormat/>
    <w:rsid w:val="003F59CB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kern w:val="2"/>
      <w:sz w:val="14"/>
      <w:szCs w:val="22"/>
      <w:lang w:val="en-US" w:eastAsia="zh-CN"/>
      <w14:ligatures w14:val="standardContextual"/>
    </w:rPr>
  </w:style>
  <w:style w:type="paragraph" w:styleId="aa">
    <w:name w:val="header"/>
    <w:basedOn w:val="a"/>
    <w:link w:val="ab"/>
    <w:uiPriority w:val="99"/>
    <w:unhideWhenUsed/>
    <w:rsid w:val="00E07D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D3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07D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3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469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B4693"/>
    <w:rPr>
      <w:rFonts w:ascii="Segoe UI" w:eastAsia="Times New Roman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B828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C230F1-5A2E-4C45-B5F0-656B5F4B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16</cp:revision>
  <dcterms:created xsi:type="dcterms:W3CDTF">2022-11-07T09:18:00Z</dcterms:created>
  <dcterms:modified xsi:type="dcterms:W3CDTF">2024-02-16T16:57:00Z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