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CB1C" w14:textId="380779D3" w:rsidR="004D5B66" w:rsidRPr="0024675D" w:rsidRDefault="004D5B66" w:rsidP="003F09FA">
      <w:pPr>
        <w:pBdr>
          <w:top w:val="nil"/>
          <w:left w:val="nil"/>
          <w:bottom w:val="nil"/>
          <w:right w:val="nil"/>
          <w:between w:val="nil"/>
        </w:pBdr>
        <w:spacing w:line="240" w:lineRule="auto"/>
        <w:ind w:leftChars="0" w:left="0" w:firstLineChars="0" w:firstLine="0"/>
        <w:jc w:val="center"/>
        <w:rPr>
          <w:sz w:val="24"/>
          <w:szCs w:val="24"/>
        </w:rPr>
      </w:pPr>
      <w:r w:rsidRPr="0024675D">
        <w:rPr>
          <w:sz w:val="24"/>
          <w:szCs w:val="24"/>
        </w:rPr>
        <w:t>Прямое определение химических форм ртути в твердых образцах методом термического испарения в сочетании с ЭТА-ААС</w:t>
      </w:r>
      <w:r w:rsidR="003F09FA" w:rsidRPr="003F09FA">
        <w:rPr>
          <w:sz w:val="24"/>
          <w:szCs w:val="24"/>
        </w:rPr>
        <w:t xml:space="preserve"> </w:t>
      </w:r>
      <w:r w:rsidRPr="0024675D">
        <w:rPr>
          <w:sz w:val="24"/>
          <w:szCs w:val="24"/>
        </w:rPr>
        <w:t>-</w:t>
      </w:r>
      <w:r w:rsidR="003F09FA" w:rsidRPr="003F09FA">
        <w:rPr>
          <w:sz w:val="24"/>
          <w:szCs w:val="24"/>
        </w:rPr>
        <w:t xml:space="preserve"> </w:t>
      </w:r>
      <w:r w:rsidRPr="0024675D">
        <w:rPr>
          <w:sz w:val="24"/>
          <w:szCs w:val="24"/>
        </w:rPr>
        <w:t>детектированием</w:t>
      </w:r>
    </w:p>
    <w:p w14:paraId="596DF2C0" w14:textId="36688921" w:rsidR="008D1FE9" w:rsidRDefault="0024675D" w:rsidP="003F09FA">
      <w:pPr>
        <w:pBdr>
          <w:top w:val="nil"/>
          <w:left w:val="nil"/>
          <w:bottom w:val="nil"/>
          <w:right w:val="nil"/>
          <w:between w:val="nil"/>
        </w:pBdr>
        <w:spacing w:line="240" w:lineRule="auto"/>
        <w:ind w:leftChars="0" w:left="0" w:firstLineChars="0" w:firstLine="0"/>
        <w:jc w:val="center"/>
        <w:rPr>
          <w:bCs/>
          <w:i/>
          <w:iCs/>
          <w:color w:val="000000"/>
          <w:sz w:val="24"/>
          <w:szCs w:val="24"/>
        </w:rPr>
      </w:pPr>
      <w:r w:rsidRPr="0024675D">
        <w:rPr>
          <w:bCs/>
          <w:i/>
          <w:iCs/>
          <w:color w:val="000000"/>
          <w:sz w:val="24"/>
          <w:szCs w:val="24"/>
        </w:rPr>
        <w:t>Бекеша И.А.</w:t>
      </w:r>
      <w:r>
        <w:rPr>
          <w:bCs/>
          <w:i/>
          <w:iCs/>
          <w:color w:val="000000"/>
          <w:sz w:val="24"/>
          <w:szCs w:val="24"/>
          <w:vertAlign w:val="superscript"/>
        </w:rPr>
        <w:t>1</w:t>
      </w:r>
    </w:p>
    <w:p w14:paraId="32065ACA" w14:textId="232758C6" w:rsidR="0024675D" w:rsidRPr="0024675D" w:rsidRDefault="0024675D" w:rsidP="003F09FA">
      <w:pPr>
        <w:pBdr>
          <w:top w:val="nil"/>
          <w:left w:val="nil"/>
          <w:bottom w:val="nil"/>
          <w:right w:val="nil"/>
          <w:between w:val="nil"/>
        </w:pBdr>
        <w:spacing w:line="240" w:lineRule="auto"/>
        <w:ind w:leftChars="0" w:left="0" w:firstLineChars="0" w:firstLine="0"/>
        <w:jc w:val="center"/>
        <w:rPr>
          <w:b w:val="0"/>
          <w:i/>
          <w:iCs/>
          <w:color w:val="000000"/>
          <w:sz w:val="24"/>
          <w:szCs w:val="24"/>
        </w:rPr>
      </w:pPr>
      <w:r>
        <w:rPr>
          <w:b w:val="0"/>
          <w:i/>
          <w:iCs/>
          <w:color w:val="000000"/>
          <w:sz w:val="24"/>
          <w:szCs w:val="24"/>
        </w:rPr>
        <w:t>Студент, 2 курс магистратуры</w:t>
      </w:r>
    </w:p>
    <w:p w14:paraId="1AF85394" w14:textId="41571691" w:rsidR="008D1FE9" w:rsidRDefault="003F09FA" w:rsidP="003F09FA">
      <w:pPr>
        <w:pBdr>
          <w:top w:val="nil"/>
          <w:left w:val="nil"/>
          <w:bottom w:val="nil"/>
          <w:right w:val="nil"/>
          <w:between w:val="nil"/>
        </w:pBdr>
        <w:spacing w:line="240" w:lineRule="auto"/>
        <w:ind w:leftChars="0" w:left="0" w:firstLineChars="0" w:firstLine="0"/>
        <w:jc w:val="center"/>
        <w:rPr>
          <w:b w:val="0"/>
          <w:i/>
          <w:color w:val="000000"/>
          <w:sz w:val="24"/>
          <w:szCs w:val="24"/>
        </w:rPr>
      </w:pPr>
      <w:r w:rsidRPr="003F09FA">
        <w:rPr>
          <w:b w:val="0"/>
          <w:i/>
          <w:color w:val="000000"/>
          <w:sz w:val="24"/>
          <w:szCs w:val="24"/>
          <w:vertAlign w:val="superscript"/>
        </w:rPr>
        <w:t>1</w:t>
      </w:r>
      <w:r w:rsidRPr="003F09FA">
        <w:rPr>
          <w:b w:val="0"/>
          <w:i/>
          <w:color w:val="000000"/>
          <w:sz w:val="24"/>
          <w:szCs w:val="24"/>
        </w:rPr>
        <w:t>Новосибирский национальный исследовательский государственный университет</w:t>
      </w:r>
      <w:r w:rsidR="004D5B66" w:rsidRPr="0024675D">
        <w:rPr>
          <w:b w:val="0"/>
          <w:i/>
          <w:color w:val="000000"/>
          <w:sz w:val="24"/>
          <w:szCs w:val="24"/>
        </w:rPr>
        <w:t>,</w:t>
      </w:r>
      <w:r>
        <w:rPr>
          <w:b w:val="0"/>
          <w:i/>
          <w:color w:val="000000"/>
          <w:sz w:val="24"/>
          <w:szCs w:val="24"/>
        </w:rPr>
        <w:t xml:space="preserve"> </w:t>
      </w:r>
      <w:r w:rsidR="004D5B66" w:rsidRPr="0024675D">
        <w:rPr>
          <w:b w:val="0"/>
          <w:i/>
          <w:color w:val="000000"/>
          <w:sz w:val="24"/>
          <w:szCs w:val="24"/>
        </w:rPr>
        <w:t>Институт неорганической химии СО РАН им. А.В. Николаева</w:t>
      </w:r>
      <w:r>
        <w:rPr>
          <w:b w:val="0"/>
          <w:i/>
          <w:color w:val="000000"/>
          <w:sz w:val="24"/>
          <w:szCs w:val="24"/>
        </w:rPr>
        <w:t>, Новосибирск, Россия</w:t>
      </w:r>
    </w:p>
    <w:p w14:paraId="7EC7D68B" w14:textId="6F7093A8" w:rsidR="001539A5" w:rsidRPr="0057519C" w:rsidRDefault="001539A5" w:rsidP="003F09FA">
      <w:pPr>
        <w:pBdr>
          <w:top w:val="nil"/>
          <w:left w:val="nil"/>
          <w:bottom w:val="nil"/>
          <w:right w:val="nil"/>
          <w:between w:val="nil"/>
        </w:pBdr>
        <w:spacing w:line="240" w:lineRule="auto"/>
        <w:ind w:leftChars="0" w:left="0" w:firstLineChars="0" w:firstLine="0"/>
        <w:jc w:val="center"/>
        <w:rPr>
          <w:b w:val="0"/>
          <w:i/>
          <w:color w:val="000000"/>
          <w:sz w:val="24"/>
          <w:szCs w:val="24"/>
        </w:rPr>
      </w:pPr>
      <w:r>
        <w:rPr>
          <w:b w:val="0"/>
          <w:i/>
          <w:color w:val="000000"/>
          <w:sz w:val="24"/>
          <w:szCs w:val="24"/>
          <w:lang w:val="en-US"/>
        </w:rPr>
        <w:t>E</w:t>
      </w:r>
      <w:r w:rsidRPr="0057519C">
        <w:rPr>
          <w:b w:val="0"/>
          <w:i/>
          <w:color w:val="000000"/>
          <w:sz w:val="24"/>
          <w:szCs w:val="24"/>
        </w:rPr>
        <w:t>-</w:t>
      </w:r>
      <w:r>
        <w:rPr>
          <w:b w:val="0"/>
          <w:i/>
          <w:color w:val="000000"/>
          <w:sz w:val="24"/>
          <w:szCs w:val="24"/>
          <w:lang w:val="en-US"/>
        </w:rPr>
        <w:t>mail</w:t>
      </w:r>
      <w:r w:rsidRPr="0057519C">
        <w:rPr>
          <w:b w:val="0"/>
          <w:i/>
          <w:color w:val="000000"/>
          <w:sz w:val="24"/>
          <w:szCs w:val="24"/>
        </w:rPr>
        <w:t xml:space="preserve">: </w:t>
      </w:r>
      <w:proofErr w:type="spellStart"/>
      <w:r>
        <w:rPr>
          <w:b w:val="0"/>
          <w:i/>
          <w:color w:val="000000"/>
          <w:sz w:val="24"/>
          <w:szCs w:val="24"/>
          <w:lang w:val="en-US"/>
        </w:rPr>
        <w:t>i</w:t>
      </w:r>
      <w:proofErr w:type="spellEnd"/>
      <w:r w:rsidRPr="0057519C">
        <w:rPr>
          <w:b w:val="0"/>
          <w:i/>
          <w:color w:val="000000"/>
          <w:sz w:val="24"/>
          <w:szCs w:val="24"/>
        </w:rPr>
        <w:t>.</w:t>
      </w:r>
      <w:proofErr w:type="spellStart"/>
      <w:r>
        <w:rPr>
          <w:b w:val="0"/>
          <w:i/>
          <w:color w:val="000000"/>
          <w:sz w:val="24"/>
          <w:szCs w:val="24"/>
          <w:lang w:val="en-US"/>
        </w:rPr>
        <w:t>bekesha</w:t>
      </w:r>
      <w:proofErr w:type="spellEnd"/>
      <w:r w:rsidRPr="0057519C">
        <w:rPr>
          <w:b w:val="0"/>
          <w:i/>
          <w:color w:val="000000"/>
          <w:sz w:val="24"/>
          <w:szCs w:val="24"/>
        </w:rPr>
        <w:t>@</w:t>
      </w:r>
      <w:r>
        <w:rPr>
          <w:b w:val="0"/>
          <w:i/>
          <w:color w:val="000000"/>
          <w:sz w:val="24"/>
          <w:szCs w:val="24"/>
          <w:lang w:val="en-US"/>
        </w:rPr>
        <w:t>g</w:t>
      </w:r>
      <w:r w:rsidRPr="0057519C">
        <w:rPr>
          <w:b w:val="0"/>
          <w:i/>
          <w:color w:val="000000"/>
          <w:sz w:val="24"/>
          <w:szCs w:val="24"/>
        </w:rPr>
        <w:t>.</w:t>
      </w:r>
      <w:proofErr w:type="spellStart"/>
      <w:r>
        <w:rPr>
          <w:b w:val="0"/>
          <w:i/>
          <w:color w:val="000000"/>
          <w:sz w:val="24"/>
          <w:szCs w:val="24"/>
          <w:lang w:val="en-US"/>
        </w:rPr>
        <w:t>nsu</w:t>
      </w:r>
      <w:proofErr w:type="spellEnd"/>
      <w:r w:rsidRPr="0057519C">
        <w:rPr>
          <w:b w:val="0"/>
          <w:i/>
          <w:color w:val="000000"/>
          <w:sz w:val="24"/>
          <w:szCs w:val="24"/>
        </w:rPr>
        <w:t>.</w:t>
      </w:r>
      <w:proofErr w:type="spellStart"/>
      <w:r>
        <w:rPr>
          <w:b w:val="0"/>
          <w:i/>
          <w:color w:val="000000"/>
          <w:sz w:val="24"/>
          <w:szCs w:val="24"/>
          <w:lang w:val="en-US"/>
        </w:rPr>
        <w:t>ru</w:t>
      </w:r>
      <w:proofErr w:type="spellEnd"/>
    </w:p>
    <w:p w14:paraId="46E61BB7" w14:textId="1145A3E0" w:rsidR="004D5B66" w:rsidRPr="0024675D" w:rsidRDefault="004D5B66" w:rsidP="0024675D">
      <w:pPr>
        <w:pBdr>
          <w:top w:val="nil"/>
          <w:left w:val="nil"/>
          <w:bottom w:val="nil"/>
          <w:right w:val="nil"/>
          <w:between w:val="nil"/>
        </w:pBdr>
        <w:tabs>
          <w:tab w:val="left" w:pos="709"/>
        </w:tabs>
        <w:spacing w:line="240" w:lineRule="auto"/>
        <w:ind w:leftChars="0" w:left="0" w:firstLineChars="0" w:firstLine="397"/>
        <w:jc w:val="both"/>
        <w:outlineLvl w:val="9"/>
        <w:rPr>
          <w:b w:val="0"/>
          <w:color w:val="000000"/>
          <w:sz w:val="24"/>
          <w:szCs w:val="24"/>
        </w:rPr>
      </w:pPr>
      <w:bookmarkStart w:id="0" w:name="_Hlk158902127"/>
      <w:r w:rsidRPr="0024675D">
        <w:rPr>
          <w:b w:val="0"/>
          <w:color w:val="000000"/>
          <w:sz w:val="24"/>
          <w:szCs w:val="24"/>
        </w:rPr>
        <w:t xml:space="preserve">Известно, что подвижность, пути миграции, биологическая доступность и токсичность элемента в природных и техногенных системах зависит от его химического окружения. Поэтому информация о содержании химических форм элемента является более важной, чем данные о суммарном содержании. Среди всего многообразия элементов наибольшую опасность для экосистемы и человека представляет ртуть, которая образует ряд токсичных соединений, поэтому определение ее химических форм </w:t>
      </w:r>
      <w:r w:rsidR="001539A5" w:rsidRPr="001539A5">
        <w:rPr>
          <w:b w:val="0"/>
          <w:color w:val="000000"/>
          <w:sz w:val="24"/>
          <w:szCs w:val="24"/>
        </w:rPr>
        <w:t>—</w:t>
      </w:r>
      <w:r w:rsidRPr="0024675D">
        <w:rPr>
          <w:b w:val="0"/>
          <w:color w:val="000000"/>
          <w:sz w:val="24"/>
          <w:szCs w:val="24"/>
        </w:rPr>
        <w:t xml:space="preserve"> актуальная задача современной аналитической химии.</w:t>
      </w:r>
    </w:p>
    <w:p w14:paraId="04C2225C" w14:textId="4A1D9042" w:rsidR="004D5B66" w:rsidRPr="0024675D" w:rsidRDefault="004D5B66" w:rsidP="0024675D">
      <w:pPr>
        <w:pBdr>
          <w:top w:val="nil"/>
          <w:left w:val="nil"/>
          <w:bottom w:val="nil"/>
          <w:right w:val="nil"/>
          <w:between w:val="nil"/>
        </w:pBdr>
        <w:tabs>
          <w:tab w:val="left" w:pos="709"/>
        </w:tabs>
        <w:spacing w:line="240" w:lineRule="auto"/>
        <w:ind w:leftChars="0" w:left="0" w:firstLineChars="0" w:firstLine="397"/>
        <w:jc w:val="both"/>
        <w:outlineLvl w:val="9"/>
        <w:rPr>
          <w:b w:val="0"/>
          <w:color w:val="000000"/>
          <w:sz w:val="24"/>
          <w:szCs w:val="24"/>
        </w:rPr>
      </w:pPr>
      <w:r w:rsidRPr="0024675D">
        <w:rPr>
          <w:b w:val="0"/>
          <w:color w:val="000000"/>
          <w:sz w:val="24"/>
          <w:szCs w:val="24"/>
        </w:rPr>
        <w:t xml:space="preserve">В современной практике определения химических форм ртути традиционно применяют методы, сочетающие экстракционное извлечение и разделение с применением ВЭЖХ, ГХ и капиллярного электрофореза с последующим элемент-селективным детектированием. Однако, при таком подходе невозможно извлечение в раствор нерастворимых форм ртути, а также не исключена возможность трансформации </w:t>
      </w:r>
      <w:proofErr w:type="spellStart"/>
      <w:r w:rsidRPr="0024675D">
        <w:rPr>
          <w:b w:val="0"/>
          <w:color w:val="000000"/>
          <w:sz w:val="24"/>
          <w:szCs w:val="24"/>
        </w:rPr>
        <w:t>аналитов</w:t>
      </w:r>
      <w:proofErr w:type="spellEnd"/>
      <w:r w:rsidRPr="0024675D">
        <w:rPr>
          <w:b w:val="0"/>
          <w:color w:val="000000"/>
          <w:sz w:val="24"/>
          <w:szCs w:val="24"/>
        </w:rPr>
        <w:t xml:space="preserve"> в процессе пробоподготовки. Альтернативный вариант </w:t>
      </w:r>
      <w:r w:rsidR="001539A5" w:rsidRPr="001539A5">
        <w:rPr>
          <w:b w:val="0"/>
          <w:color w:val="000000"/>
          <w:sz w:val="24"/>
          <w:szCs w:val="24"/>
        </w:rPr>
        <w:t>—</w:t>
      </w:r>
      <w:r w:rsidRPr="0024675D">
        <w:rPr>
          <w:b w:val="0"/>
          <w:color w:val="000000"/>
          <w:sz w:val="24"/>
          <w:szCs w:val="24"/>
        </w:rPr>
        <w:t xml:space="preserve"> определение химических форм ртути непосредственно из твердой фазы </w:t>
      </w:r>
      <w:r w:rsidR="001539A5" w:rsidRPr="001539A5">
        <w:rPr>
          <w:b w:val="0"/>
          <w:color w:val="000000"/>
          <w:sz w:val="24"/>
          <w:szCs w:val="24"/>
        </w:rPr>
        <w:t>—</w:t>
      </w:r>
      <w:r w:rsidRPr="0024675D">
        <w:rPr>
          <w:b w:val="0"/>
          <w:color w:val="000000"/>
          <w:sz w:val="24"/>
          <w:szCs w:val="24"/>
        </w:rPr>
        <w:t xml:space="preserve"> заключается в испарении химических форм при различных температурах (термическое испарение, ТИ) и их детектировании с использованием метода атомно-абсорбционной спектрометрии с электротермической атомизацией (ЭТА-ААС) </w:t>
      </w:r>
      <w:r w:rsidR="003F09FA">
        <w:rPr>
          <w:b w:val="0"/>
          <w:color w:val="000000"/>
          <w:sz w:val="24"/>
          <w:szCs w:val="24"/>
        </w:rPr>
        <w:fldChar w:fldCharType="begin"/>
      </w:r>
      <w:r w:rsidR="003F09FA">
        <w:rPr>
          <w:b w:val="0"/>
          <w:color w:val="000000"/>
          <w:sz w:val="24"/>
          <w:szCs w:val="24"/>
        </w:rPr>
        <w:instrText xml:space="preserve"> ADDIN ZOTERO_ITEM CSL_CITATION {"citationID":"xNEdBe8r","properties":{"formattedCitation":"[1,2]","plainCitation":"[1,2]","noteIndex":0},"citationItems":[{"id":55,"uris":["http://zotero.org/users/9259587/items/S5YEHEVC"],"itemData":{"id":55,"type":"article-journal","abstract":"A sensitive and very simple method for determination of mercury species in solid samples has been developed involving thermal release analysis in combination with atomic absorption (AAS) detection. The method allows determination of mercury(II) chloride, methylmercury and mercury sulﬁde at the level of 0.70, 0.35 and 0.20 ng with a reproducibility of the results of 14, 25 and 18%, respectively. The accuracy of the developed assay has been estimated using certiﬁed reference materials and by comparison of the results with those of an independent method. The method has been applied for Hg species determination in original samples of lake sediments and plankton.","container-title":"Analytica Chimica Acta","DOI":"10.1016/j.aca.2008.05.034","ISSN":"00032670","issue":"2","journalAbbreviation":"Analytica Chimica Acta","language":"en","page":"148-154","source":"DOI.org (Crossref)","title":"Mercury speciation in environmental solid samples using thermal release technique with atomic absorption detection","volume":"621","author":[{"family":"Shuvaeva","given":"Olga V."},{"family":"Gustaytis","given":"Maria A."},{"family":"Anoshin","given":"Gennadii N."}],"issued":{"date-parts":[["2008",7]]}}},{"id":166,"uris":["http://zotero.org/users/9259587/items/4WLYZI9F"],"itemData":{"id":166,"type":"article-journal","abstract":"It is known that monitoring of mercury and notably its species is very important to assess their impact and distribution in the environment. In this regard, the development of a methodology for mercury speciation in natural and man-made media is of particular importance. There are a variety of studies in this area associated with the application of thermal release in combination with electrothermal atomic absorption detection for direct mercury speciation in solid samples without preliminary extraction of analytes. Nevertheless, a number of issues remain that hinder its practical application as a reliable analytical method. However, in order to achieve progress in this field, it is necessary to understand the features of the evaporation process itself. The goal of this work is to study the thermal behavior of the most common mercury species in order to eliminate the gaps in this approach. At this stage, studies were carried out using pure substances and their mixtures as a starting point for a subsequent transition to real natural samples. For this the installation scheme was modernized by introducing a module that provides programmable heating of the sample and variation of the heating rate. As a result of the experiments it was shown that the transformation of studied compounds with the examples of mercury chloride, methylmercury chloride, mercury sulfide and mercury sulfate occurs under thermal exposure, which leads to a change in their physicochemical characteristics, but, nevertheless, does not prevent their baseline separation for 30 min using programmable heating mode, which includes a continuous increase in temperature with a subsequent stop until the thermal peak is formed.","container-title":"Analytical Methods","DOI":"10.1039/D2AY01990F","ISSN":"1759-9679","issue":"7","journalAbbreviation":"Anal. Methods","language":"en","note":"publisher: The Royal Society of Chemistry","page":"937-943","source":"pubs.rsc.org","title":"Preliminary exploration of direct mercury speciation in solid samples by using thermal release coupled to electrothermal atomic absorption spectrometry","volume":"15","author":[{"family":"Troitskii","given":"Dmitrii Yu"},{"family":"Bekesha","given":"Ivan A."},{"family":"Shuvaeva","given":"Olga V."},{"family":"Plyusnin","given":"Pavel E."}],"issued":{"date-parts":[["2023",2,16]]}}}],"schema":"https://github.com/citation-style-language/schema/raw/master/csl-citation.json"} </w:instrText>
      </w:r>
      <w:r w:rsidR="003F09FA">
        <w:rPr>
          <w:b w:val="0"/>
          <w:color w:val="000000"/>
          <w:sz w:val="24"/>
          <w:szCs w:val="24"/>
        </w:rPr>
        <w:fldChar w:fldCharType="separate"/>
      </w:r>
      <w:r w:rsidR="003F09FA" w:rsidRPr="003F09FA">
        <w:rPr>
          <w:sz w:val="24"/>
        </w:rPr>
        <w:t>[1,2]</w:t>
      </w:r>
      <w:r w:rsidR="003F09FA">
        <w:rPr>
          <w:b w:val="0"/>
          <w:color w:val="000000"/>
          <w:sz w:val="24"/>
          <w:szCs w:val="24"/>
        </w:rPr>
        <w:fldChar w:fldCharType="end"/>
      </w:r>
      <w:r w:rsidRPr="0024675D">
        <w:rPr>
          <w:b w:val="0"/>
          <w:color w:val="000000"/>
          <w:sz w:val="24"/>
          <w:szCs w:val="24"/>
        </w:rPr>
        <w:t>.</w:t>
      </w:r>
    </w:p>
    <w:p w14:paraId="26ACE5F6" w14:textId="77777777" w:rsidR="004D5B66" w:rsidRPr="0024675D" w:rsidRDefault="004D5B66" w:rsidP="0024675D">
      <w:pPr>
        <w:pBdr>
          <w:top w:val="nil"/>
          <w:left w:val="nil"/>
          <w:bottom w:val="nil"/>
          <w:right w:val="nil"/>
          <w:between w:val="nil"/>
        </w:pBdr>
        <w:tabs>
          <w:tab w:val="left" w:pos="709"/>
        </w:tabs>
        <w:spacing w:line="240" w:lineRule="auto"/>
        <w:ind w:leftChars="0" w:left="0" w:firstLineChars="0" w:firstLine="397"/>
        <w:jc w:val="both"/>
        <w:outlineLvl w:val="9"/>
        <w:rPr>
          <w:b w:val="0"/>
          <w:color w:val="000000"/>
          <w:sz w:val="24"/>
          <w:szCs w:val="24"/>
        </w:rPr>
      </w:pPr>
      <w:r w:rsidRPr="0024675D">
        <w:rPr>
          <w:b w:val="0"/>
          <w:color w:val="000000"/>
          <w:sz w:val="24"/>
          <w:szCs w:val="24"/>
        </w:rPr>
        <w:t>Анализ данных, полученных различными исследовательскими группами, которые ставили своей целью развитие метода ТИ-ЭТА-ААС, продемонстрировал отсутствие системного подхода к организации аналитической процедуры. Целью настоящей работы являлась оптимизация условий прямого определения химических форм ртути в твердых образцах методом ТИ-ЭТА-ААС.</w:t>
      </w:r>
    </w:p>
    <w:p w14:paraId="3A1D3FD7" w14:textId="77777777" w:rsidR="00EB6056" w:rsidRDefault="00EB6056" w:rsidP="0024675D">
      <w:pPr>
        <w:pBdr>
          <w:top w:val="nil"/>
          <w:left w:val="nil"/>
          <w:bottom w:val="nil"/>
          <w:right w:val="nil"/>
          <w:between w:val="nil"/>
        </w:pBdr>
        <w:tabs>
          <w:tab w:val="left" w:pos="709"/>
        </w:tabs>
        <w:spacing w:line="240" w:lineRule="auto"/>
        <w:ind w:leftChars="0" w:left="0" w:firstLineChars="0" w:firstLine="397"/>
        <w:jc w:val="both"/>
        <w:outlineLvl w:val="9"/>
        <w:rPr>
          <w:b w:val="0"/>
          <w:color w:val="000000"/>
          <w:sz w:val="24"/>
          <w:szCs w:val="24"/>
        </w:rPr>
      </w:pPr>
      <w:r w:rsidRPr="00EB6056">
        <w:rPr>
          <w:b w:val="0"/>
          <w:color w:val="000000"/>
          <w:sz w:val="24"/>
          <w:szCs w:val="24"/>
        </w:rPr>
        <w:t xml:space="preserve">Ранее в рамках разработки методики была сконструирована и апробирована установка на основе анализатора ртути РА-915+, модернизированная за счет разделения зон испарения и атомизации, что обеспечило возможность реализации программ нагрева образца на стадии испарения с повышением эффективности разделения исследуемых </w:t>
      </w:r>
      <w:proofErr w:type="spellStart"/>
      <w:r w:rsidRPr="00EB6056">
        <w:rPr>
          <w:b w:val="0"/>
          <w:color w:val="000000"/>
          <w:sz w:val="24"/>
          <w:szCs w:val="24"/>
        </w:rPr>
        <w:t>аналитов</w:t>
      </w:r>
      <w:proofErr w:type="spellEnd"/>
      <w:r w:rsidRPr="00EB6056">
        <w:rPr>
          <w:b w:val="0"/>
          <w:color w:val="000000"/>
          <w:sz w:val="24"/>
          <w:szCs w:val="24"/>
        </w:rPr>
        <w:t>. Также в отличие от предыдущих исследований, вместо воздуха был использован газ-носитель аргон</w:t>
      </w:r>
    </w:p>
    <w:p w14:paraId="51FECD3B" w14:textId="46FA7BF2" w:rsidR="004D5B66" w:rsidRPr="0057519C" w:rsidRDefault="004D5B66" w:rsidP="0024675D">
      <w:pPr>
        <w:pBdr>
          <w:top w:val="nil"/>
          <w:left w:val="nil"/>
          <w:bottom w:val="nil"/>
          <w:right w:val="nil"/>
          <w:between w:val="nil"/>
        </w:pBdr>
        <w:tabs>
          <w:tab w:val="left" w:pos="709"/>
        </w:tabs>
        <w:spacing w:line="240" w:lineRule="auto"/>
        <w:ind w:leftChars="0" w:left="0" w:firstLineChars="0" w:firstLine="397"/>
        <w:jc w:val="both"/>
        <w:outlineLvl w:val="9"/>
        <w:rPr>
          <w:b w:val="0"/>
          <w:color w:val="000000"/>
          <w:sz w:val="24"/>
          <w:szCs w:val="24"/>
          <w:lang w:val="en-US"/>
        </w:rPr>
      </w:pPr>
      <w:r w:rsidRPr="0024675D">
        <w:rPr>
          <w:b w:val="0"/>
          <w:color w:val="000000"/>
          <w:sz w:val="24"/>
          <w:szCs w:val="24"/>
        </w:rPr>
        <w:t>В результате проведенных исследований была разработана методика по определению ряда химических форм ртути: хлорида, HgCl</w:t>
      </w:r>
      <w:r w:rsidRPr="0024675D">
        <w:rPr>
          <w:b w:val="0"/>
          <w:color w:val="000000"/>
          <w:sz w:val="24"/>
          <w:szCs w:val="24"/>
          <w:vertAlign w:val="subscript"/>
        </w:rPr>
        <w:t>2</w:t>
      </w:r>
      <w:r w:rsidRPr="0024675D">
        <w:rPr>
          <w:b w:val="0"/>
          <w:color w:val="000000"/>
          <w:sz w:val="24"/>
          <w:szCs w:val="24"/>
        </w:rPr>
        <w:t xml:space="preserve">, сульфида, </w:t>
      </w:r>
      <w:proofErr w:type="spellStart"/>
      <w:r w:rsidRPr="0024675D">
        <w:rPr>
          <w:b w:val="0"/>
          <w:color w:val="000000"/>
          <w:sz w:val="24"/>
          <w:szCs w:val="24"/>
        </w:rPr>
        <w:t>HgS</w:t>
      </w:r>
      <w:proofErr w:type="spellEnd"/>
      <w:r w:rsidRPr="0024675D">
        <w:rPr>
          <w:b w:val="0"/>
          <w:color w:val="000000"/>
          <w:sz w:val="24"/>
          <w:szCs w:val="24"/>
        </w:rPr>
        <w:t xml:space="preserve"> и сульфата HgSO</w:t>
      </w:r>
      <w:r w:rsidR="0061336D" w:rsidRPr="0061336D">
        <w:rPr>
          <w:b w:val="0"/>
          <w:color w:val="000000"/>
          <w:sz w:val="24"/>
          <w:szCs w:val="24"/>
          <w:vertAlign w:val="subscript"/>
        </w:rPr>
        <w:t>4</w:t>
      </w:r>
      <w:r w:rsidRPr="0024675D">
        <w:rPr>
          <w:b w:val="0"/>
          <w:color w:val="000000"/>
          <w:sz w:val="24"/>
          <w:szCs w:val="24"/>
        </w:rPr>
        <w:t>, а также наиболее токсичной формы</w:t>
      </w:r>
      <w:r w:rsidR="001539A5" w:rsidRPr="001539A5">
        <w:rPr>
          <w:b w:val="0"/>
          <w:color w:val="000000"/>
          <w:sz w:val="24"/>
          <w:szCs w:val="24"/>
        </w:rPr>
        <w:t xml:space="preserve"> —</w:t>
      </w:r>
      <w:r w:rsidR="001539A5">
        <w:rPr>
          <w:b w:val="0"/>
          <w:color w:val="000000"/>
          <w:sz w:val="24"/>
          <w:szCs w:val="24"/>
        </w:rPr>
        <w:t xml:space="preserve"> </w:t>
      </w:r>
      <w:r w:rsidRPr="0024675D">
        <w:rPr>
          <w:b w:val="0"/>
          <w:color w:val="000000"/>
          <w:sz w:val="24"/>
          <w:szCs w:val="24"/>
        </w:rPr>
        <w:t xml:space="preserve">хлорида </w:t>
      </w:r>
      <w:proofErr w:type="spellStart"/>
      <w:r w:rsidRPr="0024675D">
        <w:rPr>
          <w:b w:val="0"/>
          <w:color w:val="000000"/>
          <w:sz w:val="24"/>
          <w:szCs w:val="24"/>
        </w:rPr>
        <w:t>монометилртути</w:t>
      </w:r>
      <w:proofErr w:type="spellEnd"/>
      <w:r w:rsidRPr="0024675D">
        <w:rPr>
          <w:b w:val="0"/>
          <w:color w:val="000000"/>
          <w:sz w:val="24"/>
          <w:szCs w:val="24"/>
        </w:rPr>
        <w:t xml:space="preserve"> CH</w:t>
      </w:r>
      <w:r w:rsidRPr="0061336D">
        <w:rPr>
          <w:b w:val="0"/>
          <w:color w:val="000000"/>
          <w:sz w:val="24"/>
          <w:szCs w:val="24"/>
          <w:vertAlign w:val="subscript"/>
        </w:rPr>
        <w:t>3</w:t>
      </w:r>
      <w:r w:rsidRPr="0024675D">
        <w:rPr>
          <w:b w:val="0"/>
          <w:color w:val="000000"/>
          <w:sz w:val="24"/>
          <w:szCs w:val="24"/>
        </w:rPr>
        <w:t>HgCl в твёрдых природных и техногенных образцах на уровне содержаний от 0</w:t>
      </w:r>
      <w:r w:rsidR="003F09FA">
        <w:rPr>
          <w:b w:val="0"/>
          <w:color w:val="000000"/>
          <w:sz w:val="24"/>
          <w:szCs w:val="24"/>
        </w:rPr>
        <w:t>.</w:t>
      </w:r>
      <w:r w:rsidRPr="0024675D">
        <w:rPr>
          <w:b w:val="0"/>
          <w:color w:val="000000"/>
          <w:sz w:val="24"/>
          <w:szCs w:val="24"/>
        </w:rPr>
        <w:t>05 до 0</w:t>
      </w:r>
      <w:r w:rsidR="003F09FA">
        <w:rPr>
          <w:b w:val="0"/>
          <w:color w:val="000000"/>
          <w:sz w:val="24"/>
          <w:szCs w:val="24"/>
        </w:rPr>
        <w:t>.</w:t>
      </w:r>
      <w:r w:rsidRPr="0024675D">
        <w:rPr>
          <w:b w:val="0"/>
          <w:color w:val="000000"/>
          <w:sz w:val="24"/>
          <w:szCs w:val="24"/>
        </w:rPr>
        <w:t xml:space="preserve">30 мкг (в пересчёте на ртуть) с погрешностью </w:t>
      </w:r>
      <w:r w:rsidRPr="0057519C">
        <w:rPr>
          <w:b w:val="0"/>
          <w:color w:val="000000"/>
          <w:sz w:val="24"/>
          <w:szCs w:val="24"/>
          <w:lang w:val="en-US"/>
        </w:rPr>
        <w:t>10 - 20 %.</w:t>
      </w:r>
    </w:p>
    <w:bookmarkEnd w:id="0"/>
    <w:p w14:paraId="1D075E2C" w14:textId="54D246F3" w:rsidR="003F09FA" w:rsidRPr="00566472" w:rsidRDefault="003F09FA" w:rsidP="003F09FA">
      <w:pPr>
        <w:pBdr>
          <w:top w:val="nil"/>
          <w:left w:val="nil"/>
          <w:bottom w:val="nil"/>
          <w:right w:val="nil"/>
          <w:between w:val="nil"/>
        </w:pBdr>
        <w:tabs>
          <w:tab w:val="left" w:pos="709"/>
        </w:tabs>
        <w:spacing w:line="240" w:lineRule="auto"/>
        <w:ind w:leftChars="0" w:left="0" w:firstLineChars="0" w:firstLine="397"/>
        <w:jc w:val="center"/>
        <w:outlineLvl w:val="9"/>
        <w:rPr>
          <w:bCs/>
          <w:color w:val="000000"/>
          <w:sz w:val="24"/>
          <w:szCs w:val="24"/>
          <w:lang w:val="en-US"/>
        </w:rPr>
      </w:pPr>
      <w:r w:rsidRPr="003F09FA">
        <w:rPr>
          <w:bCs/>
          <w:color w:val="000000"/>
          <w:sz w:val="24"/>
          <w:szCs w:val="24"/>
        </w:rPr>
        <w:t>Литература</w:t>
      </w:r>
    </w:p>
    <w:p w14:paraId="5BE66912" w14:textId="201DED06" w:rsidR="003F09FA" w:rsidRPr="003F09FA" w:rsidRDefault="003F09FA" w:rsidP="003F09FA">
      <w:pPr>
        <w:pStyle w:val="a9"/>
        <w:pBdr>
          <w:bottom w:val="nil"/>
        </w:pBdr>
        <w:ind w:left="0" w:hanging="5"/>
        <w:jc w:val="both"/>
        <w:rPr>
          <w:b w:val="0"/>
          <w:bCs/>
          <w:sz w:val="24"/>
          <w:lang w:val="en-US"/>
        </w:rPr>
      </w:pPr>
      <w:r w:rsidRPr="003F09FA">
        <w:rPr>
          <w:b w:val="0"/>
          <w:bCs/>
          <w:color w:val="000000"/>
          <w:lang w:val="en-US"/>
        </w:rPr>
        <w:fldChar w:fldCharType="begin"/>
      </w:r>
      <w:r w:rsidRPr="003F09FA">
        <w:rPr>
          <w:b w:val="0"/>
          <w:bCs/>
          <w:color w:val="000000"/>
          <w:lang w:val="en-US"/>
        </w:rPr>
        <w:instrText xml:space="preserve"> ADDIN ZOTERO_BIBL {"uncited":[],"omitted":[],"custom":[]} CSL_BIBLIOGRAPHY </w:instrText>
      </w:r>
      <w:r w:rsidRPr="003F09FA">
        <w:rPr>
          <w:b w:val="0"/>
          <w:bCs/>
          <w:color w:val="000000"/>
          <w:lang w:val="en-US"/>
        </w:rPr>
        <w:fldChar w:fldCharType="separate"/>
      </w:r>
      <w:r w:rsidRPr="003F09FA">
        <w:rPr>
          <w:b w:val="0"/>
          <w:bCs/>
          <w:sz w:val="24"/>
          <w:lang w:val="en-US"/>
        </w:rPr>
        <w:t>1.</w:t>
      </w:r>
      <w:r w:rsidRPr="003F09FA">
        <w:rPr>
          <w:b w:val="0"/>
          <w:bCs/>
          <w:sz w:val="24"/>
          <w:lang w:val="en-US"/>
        </w:rPr>
        <w:tab/>
        <w:t>Shuvaeva O.V., Gustaytis M.A., Anoshin G.N. Mercury speciation in environmental solid samples using thermal release technique with atomic absorption detection // Analytica Chimica Acta. 2008. Vol. 621, № 2. P. 148–154.</w:t>
      </w:r>
    </w:p>
    <w:p w14:paraId="6E2648CA" w14:textId="4DC358D4" w:rsidR="00EB6056" w:rsidRPr="00FC3560" w:rsidRDefault="003F09FA" w:rsidP="00EB6056">
      <w:pPr>
        <w:pStyle w:val="a9"/>
        <w:pBdr>
          <w:bottom w:val="nil"/>
        </w:pBdr>
        <w:ind w:left="-3" w:hanging="2"/>
        <w:jc w:val="both"/>
        <w:rPr>
          <w:b w:val="0"/>
          <w:bCs/>
          <w:sz w:val="24"/>
          <w:szCs w:val="24"/>
          <w:lang w:val="en-US"/>
        </w:rPr>
      </w:pPr>
      <w:r w:rsidRPr="003F09FA">
        <w:rPr>
          <w:b w:val="0"/>
          <w:bCs/>
          <w:sz w:val="24"/>
          <w:lang w:val="en-US"/>
        </w:rPr>
        <w:t>2.</w:t>
      </w:r>
      <w:r w:rsidRPr="003F09FA">
        <w:rPr>
          <w:b w:val="0"/>
          <w:bCs/>
          <w:sz w:val="24"/>
          <w:lang w:val="en-US"/>
        </w:rPr>
        <w:tab/>
        <w:t>Troitskii D.Y. et al. Preliminary exploration of direct mercury speciation in solid samples by using thermal release coupled to electrothermal atomic absorption spectrometry // Anal. Methods. The Royal Society of Chemistry, 2023. Vol. 15, № 7. P. 937–943.</w:t>
      </w:r>
      <w:r w:rsidRPr="003F09FA">
        <w:rPr>
          <w:b w:val="0"/>
          <w:bCs/>
          <w:color w:val="000000"/>
          <w:sz w:val="24"/>
          <w:szCs w:val="24"/>
          <w:lang w:val="en-US"/>
        </w:rPr>
        <w:fldChar w:fldCharType="end"/>
      </w:r>
    </w:p>
    <w:sectPr w:rsidR="00EB6056" w:rsidRPr="00FC3560" w:rsidSect="008D0A9A">
      <w:pgSz w:w="11906" w:h="16838"/>
      <w:pgMar w:top="1134" w:right="1361" w:bottom="1134" w:left="1361" w:header="731" w:footer="73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C1937"/>
    <w:multiLevelType w:val="multilevel"/>
    <w:tmpl w:val="1242D64E"/>
    <w:lvl w:ilvl="0">
      <w:start w:val="1"/>
      <w:numFmt w:val="decimal"/>
      <w:lvlText w:val="%1."/>
      <w:lvlJc w:val="left"/>
      <w:pPr>
        <w:ind w:left="0" w:firstLine="288"/>
      </w:pPr>
      <w:rPr>
        <w:rFonts w:ascii="Times New Roman" w:eastAsia="Times New Roman" w:hAnsi="Times New Roman" w:cs="Times New Roman"/>
        <w:b w:val="0"/>
        <w:i w:val="0"/>
        <w:smallCaps w:val="0"/>
        <w:strike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D826BC2"/>
    <w:multiLevelType w:val="multilevel"/>
    <w:tmpl w:val="719013C2"/>
    <w:lvl w:ilvl="0">
      <w:start w:val="1"/>
      <w:numFmt w:val="decimal"/>
      <w:pStyle w:val="ListofLiteratu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4901191">
    <w:abstractNumId w:val="0"/>
  </w:num>
  <w:num w:numId="2" w16cid:durableId="852644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E9"/>
    <w:rsid w:val="00084FF6"/>
    <w:rsid w:val="001539A5"/>
    <w:rsid w:val="00163E6B"/>
    <w:rsid w:val="0024675D"/>
    <w:rsid w:val="003F09FA"/>
    <w:rsid w:val="004D5B66"/>
    <w:rsid w:val="00566472"/>
    <w:rsid w:val="0057519C"/>
    <w:rsid w:val="00585346"/>
    <w:rsid w:val="0061336D"/>
    <w:rsid w:val="007801F9"/>
    <w:rsid w:val="008D0A9A"/>
    <w:rsid w:val="008D1FE9"/>
    <w:rsid w:val="00977E29"/>
    <w:rsid w:val="00AC59AB"/>
    <w:rsid w:val="00B66B25"/>
    <w:rsid w:val="00BB6905"/>
    <w:rsid w:val="00BB7A0A"/>
    <w:rsid w:val="00C61941"/>
    <w:rsid w:val="00D236B2"/>
    <w:rsid w:val="00EB6056"/>
    <w:rsid w:val="00FA3063"/>
    <w:rsid w:val="00FC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2045"/>
  <w15:docId w15:val="{F4F20C0A-D6D9-4E57-9553-CFA3012E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B66"/>
    <w:pPr>
      <w:suppressAutoHyphens/>
      <w:spacing w:line="1" w:lineRule="atLeast"/>
      <w:ind w:leftChars="-1" w:left="-1" w:hangingChars="1" w:hanging="1"/>
      <w:textDirection w:val="btLr"/>
      <w:textAlignment w:val="top"/>
      <w:outlineLvl w:val="0"/>
    </w:pPr>
    <w:rPr>
      <w:b/>
      <w:position w:val="-1"/>
      <w:sz w:val="54"/>
      <w:szCs w:val="54"/>
      <w:lang w:eastAsia="ru-RU"/>
    </w:rPr>
  </w:style>
  <w:style w:type="paragraph" w:styleId="1">
    <w:name w:val="heading 1"/>
    <w:basedOn w:val="a"/>
    <w:next w:val="a"/>
    <w:uiPriority w:val="9"/>
    <w:qFormat/>
    <w:pPr>
      <w:keepNext/>
      <w:keepLines/>
      <w:spacing w:before="480" w:after="120"/>
    </w:pPr>
    <w:rPr>
      <w:sz w:val="48"/>
      <w:szCs w:val="48"/>
    </w:rPr>
  </w:style>
  <w:style w:type="paragraph" w:styleId="2">
    <w:name w:val="heading 2"/>
    <w:basedOn w:val="a"/>
    <w:next w:val="a"/>
    <w:uiPriority w:val="9"/>
    <w:semiHidden/>
    <w:unhideWhenUsed/>
    <w:qFormat/>
    <w:pPr>
      <w:keepNext/>
      <w:spacing w:after="120"/>
      <w:jc w:val="center"/>
      <w:outlineLvl w:val="1"/>
    </w:pPr>
    <w:rPr>
      <w:bCs/>
      <w:iCs/>
      <w:sz w:val="20"/>
      <w:szCs w:val="20"/>
    </w:rPr>
  </w:style>
  <w:style w:type="paragraph" w:styleId="3">
    <w:name w:val="heading 3"/>
    <w:basedOn w:val="a"/>
    <w:next w:val="a"/>
    <w:uiPriority w:val="9"/>
    <w:semiHidden/>
    <w:unhideWhenUsed/>
    <w:qFormat/>
    <w:pPr>
      <w:keepNext/>
      <w:keepLines/>
      <w:spacing w:before="280" w:after="80"/>
      <w:outlineLvl w:val="2"/>
    </w:pPr>
    <w:rPr>
      <w:sz w:val="28"/>
      <w:szCs w:val="28"/>
    </w:rPr>
  </w:style>
  <w:style w:type="paragraph" w:styleId="4">
    <w:name w:val="heading 4"/>
    <w:basedOn w:val="a"/>
    <w:next w:val="a"/>
    <w:uiPriority w:val="9"/>
    <w:semiHidden/>
    <w:unhideWhenUsed/>
    <w:qFormat/>
    <w:pPr>
      <w:keepNext/>
      <w:keepLines/>
      <w:spacing w:before="240" w:after="40"/>
      <w:outlineLvl w:val="3"/>
    </w:pPr>
    <w:rPr>
      <w:sz w:val="24"/>
      <w:szCs w:val="24"/>
    </w:rPr>
  </w:style>
  <w:style w:type="paragraph" w:styleId="5">
    <w:name w:val="heading 5"/>
    <w:basedOn w:val="a"/>
    <w:next w:val="a"/>
    <w:uiPriority w:val="9"/>
    <w:semiHidden/>
    <w:unhideWhenUsed/>
    <w:qFormat/>
    <w:pPr>
      <w:keepNext/>
      <w:keepLines/>
      <w:spacing w:before="220" w:after="40"/>
      <w:outlineLvl w:val="4"/>
    </w:pPr>
    <w:rPr>
      <w:sz w:val="22"/>
      <w:szCs w:val="22"/>
    </w:rPr>
  </w:style>
  <w:style w:type="paragraph" w:styleId="6">
    <w:name w:val="heading 6"/>
    <w:basedOn w:val="a"/>
    <w:next w:val="a"/>
    <w:uiPriority w:val="9"/>
    <w:semiHidden/>
    <w:unhideWhenUsed/>
    <w:qFormat/>
    <w:pPr>
      <w:keepNext/>
      <w:keepLines/>
      <w:spacing w:before="200" w:after="40"/>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next w:val="Authorsnames"/>
    <w:uiPriority w:val="10"/>
    <w:qFormat/>
    <w:pPr>
      <w:suppressAutoHyphens/>
      <w:spacing w:after="120" w:line="1" w:lineRule="atLeast"/>
      <w:ind w:leftChars="-1" w:left="-1" w:hangingChars="1" w:hanging="1"/>
      <w:jc w:val="center"/>
      <w:textDirection w:val="btLr"/>
      <w:textAlignment w:val="top"/>
      <w:outlineLvl w:val="0"/>
    </w:pPr>
    <w:rPr>
      <w:b/>
      <w:position w:val="-1"/>
      <w:lang w:eastAsia="ru-RU"/>
    </w:rPr>
  </w:style>
  <w:style w:type="table" w:styleId="a4">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names">
    <w:name w:val="Authors' names"/>
    <w:next w:val="Organization"/>
    <w:pPr>
      <w:suppressAutoHyphens/>
      <w:spacing w:after="120" w:line="1" w:lineRule="atLeast"/>
      <w:ind w:leftChars="-1" w:left="-1" w:hangingChars="1" w:hanging="1"/>
      <w:jc w:val="center"/>
      <w:textDirection w:val="btLr"/>
      <w:textAlignment w:val="top"/>
      <w:outlineLvl w:val="0"/>
    </w:pPr>
    <w:rPr>
      <w:b/>
      <w:position w:val="-1"/>
      <w:lang w:eastAsia="ru-RU"/>
    </w:rPr>
  </w:style>
  <w:style w:type="paragraph" w:customStyle="1" w:styleId="Organization">
    <w:name w:val="Organization"/>
    <w:next w:val="Abstract"/>
    <w:pPr>
      <w:suppressAutoHyphens/>
      <w:spacing w:after="120" w:line="1" w:lineRule="atLeast"/>
      <w:ind w:leftChars="-1" w:left="-1" w:hangingChars="1" w:hanging="1"/>
      <w:jc w:val="center"/>
      <w:textDirection w:val="btLr"/>
      <w:textAlignment w:val="top"/>
      <w:outlineLvl w:val="0"/>
    </w:pPr>
    <w:rPr>
      <w:i/>
      <w:position w:val="-1"/>
      <w:lang w:eastAsia="ru-RU"/>
    </w:rPr>
  </w:style>
  <w:style w:type="paragraph" w:customStyle="1" w:styleId="Abstract">
    <w:name w:val="Abstract"/>
    <w:pPr>
      <w:suppressAutoHyphens/>
      <w:spacing w:line="1" w:lineRule="atLeast"/>
      <w:ind w:leftChars="-1" w:left="-1" w:hangingChars="1" w:hanging="1"/>
      <w:jc w:val="both"/>
      <w:textDirection w:val="btLr"/>
      <w:textAlignment w:val="top"/>
      <w:outlineLvl w:val="0"/>
    </w:pPr>
    <w:rPr>
      <w:iCs/>
      <w:position w:val="-1"/>
      <w:lang w:eastAsia="ru-RU"/>
    </w:rPr>
  </w:style>
  <w:style w:type="paragraph" w:customStyle="1" w:styleId="TitleofthePictureTable">
    <w:name w:val="Title of the Picture &amp; Table"/>
    <w:next w:val="Abstract"/>
    <w:pPr>
      <w:suppressAutoHyphens/>
      <w:spacing w:before="120" w:after="120" w:line="1" w:lineRule="atLeast"/>
      <w:ind w:leftChars="-1" w:left="-1" w:hangingChars="1" w:hanging="1"/>
      <w:jc w:val="center"/>
      <w:textDirection w:val="btLr"/>
      <w:textAlignment w:val="top"/>
      <w:outlineLvl w:val="0"/>
    </w:pPr>
    <w:rPr>
      <w:position w:val="-1"/>
      <w:lang w:eastAsia="ru-RU"/>
    </w:rPr>
  </w:style>
  <w:style w:type="character" w:customStyle="1" w:styleId="Abstract0">
    <w:name w:val="Abstract Знак Знак"/>
    <w:basedOn w:val="a0"/>
    <w:rPr>
      <w:iCs/>
      <w:w w:val="100"/>
      <w:position w:val="-1"/>
      <w:effect w:val="none"/>
      <w:vertAlign w:val="baseline"/>
      <w:cs w:val="0"/>
      <w:em w:val="none"/>
      <w:lang w:val="ru-RU" w:eastAsia="ru-RU" w:bidi="ar-SA"/>
    </w:rPr>
  </w:style>
  <w:style w:type="paragraph" w:customStyle="1" w:styleId="Literature">
    <w:name w:val="Literature"/>
    <w:next w:val="ListofLiterature"/>
    <w:pPr>
      <w:suppressAutoHyphens/>
      <w:spacing w:before="120" w:line="1" w:lineRule="atLeast"/>
      <w:ind w:leftChars="-1" w:left="-1" w:hangingChars="1" w:hanging="1"/>
      <w:jc w:val="center"/>
      <w:textDirection w:val="btLr"/>
      <w:textAlignment w:val="top"/>
      <w:outlineLvl w:val="0"/>
    </w:pPr>
    <w:rPr>
      <w:b/>
      <w:iCs/>
      <w:position w:val="-1"/>
      <w:lang w:eastAsia="ru-RU"/>
    </w:rPr>
  </w:style>
  <w:style w:type="paragraph" w:customStyle="1" w:styleId="Advisor">
    <w:name w:val="Advisor"/>
    <w:next w:val="Abstract"/>
    <w:pPr>
      <w:suppressAutoHyphens/>
      <w:spacing w:line="1" w:lineRule="atLeast"/>
      <w:ind w:leftChars="-1" w:left="-1" w:hangingChars="1" w:hanging="1"/>
      <w:jc w:val="both"/>
      <w:textDirection w:val="btLr"/>
      <w:textAlignment w:val="top"/>
      <w:outlineLvl w:val="0"/>
    </w:pPr>
    <w:rPr>
      <w:iCs/>
      <w:position w:val="-1"/>
      <w:lang w:eastAsia="ru-RU"/>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customStyle="1" w:styleId="ListofLiterature">
    <w:name w:val="List of Literature"/>
    <w:basedOn w:val="Abstract"/>
    <w:pPr>
      <w:numPr>
        <w:numId w:val="2"/>
      </w:numPr>
      <w:ind w:left="-1" w:firstLine="288"/>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08" w:type="dxa"/>
        <w:right w:w="108" w:type="dxa"/>
      </w:tblCellMar>
    </w:tblPr>
  </w:style>
  <w:style w:type="paragraph" w:styleId="a9">
    <w:name w:val="Bibliography"/>
    <w:basedOn w:val="a"/>
    <w:next w:val="a"/>
    <w:uiPriority w:val="37"/>
    <w:unhideWhenUsed/>
    <w:rsid w:val="003F09FA"/>
    <w:pPr>
      <w:tabs>
        <w:tab w:val="left" w:pos="264"/>
      </w:tabs>
      <w:spacing w:line="240" w:lineRule="atLeast"/>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671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jVBXU0Tq/l0/KYEIRCuTQcCXg==">CgMxLjAaJQoBMBIgCh4IB0IaCg9UaW1lcyBOZXcgUm9tYW4SB0d1bmdzdWgaJQoBMRIgCh4IB0IaCg9UaW1lcyBOZXcgUm9tYW4SB0d1bmdzdWg4AHIhMW5yWU9IcWZ3cl9SeHg5SW5pQWEzZ0ZfSXY2eE1CQlE3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73EBA1-352A-46DF-B942-29A27ECB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1093</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Dubtsov</dc:creator>
  <cp:lastModifiedBy>Иван Бекеша</cp:lastModifiedBy>
  <cp:revision>2</cp:revision>
  <dcterms:created xsi:type="dcterms:W3CDTF">2024-04-04T12:16:00Z</dcterms:created>
  <dcterms:modified xsi:type="dcterms:W3CDTF">2024-04-04T12:16:00Z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id="oMDqoHtv"/&gt;&lt;style id="http://www.zotero.org/styles/gost-r-7-0-5-2008-numeric" hasBibliography="1" bibliographyStyleHasBeenSet="1"/&gt;&lt;prefs&gt;&lt;pref name="fieldType" value="Field"/&gt;&lt;/prefs&gt;&lt;/data&gt;</vt:lpwstr>
  </property>
</Properties>
</file>