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C4B6" w14:textId="77777777" w:rsidR="000035AC" w:rsidRPr="003D1A8D" w:rsidRDefault="00CD1794" w:rsidP="003D1A8D">
      <w:pPr>
        <w:ind w:left="0"/>
        <w:jc w:val="center"/>
        <w:rPr>
          <w:b/>
        </w:rPr>
      </w:pPr>
      <w:r w:rsidRPr="00CD1794">
        <w:rPr>
          <w:b/>
          <w:bCs/>
        </w:rPr>
        <w:t xml:space="preserve">Изучение аналитических характеристик глюкозных тест-полосок в зависимости от состава </w:t>
      </w:r>
      <w:proofErr w:type="spellStart"/>
      <w:r w:rsidRPr="00CD1794">
        <w:rPr>
          <w:b/>
          <w:bCs/>
        </w:rPr>
        <w:t>мембранообразующей</w:t>
      </w:r>
      <w:proofErr w:type="spellEnd"/>
      <w:r w:rsidRPr="00CD1794">
        <w:rPr>
          <w:b/>
          <w:bCs/>
        </w:rPr>
        <w:t xml:space="preserve"> смеси</w:t>
      </w:r>
    </w:p>
    <w:p w14:paraId="41434FCC" w14:textId="77777777" w:rsidR="00130241" w:rsidRPr="00C708EA" w:rsidRDefault="000035AC" w:rsidP="003D1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i/>
          <w:color w:val="000000"/>
        </w:rPr>
      </w:pPr>
      <w:r w:rsidRPr="003D1A8D">
        <w:rPr>
          <w:b/>
          <w:i/>
          <w:color w:val="000000"/>
        </w:rPr>
        <w:t>Соловьёв</w:t>
      </w:r>
      <w:r w:rsidR="00EB1F49" w:rsidRPr="003D1A8D">
        <w:rPr>
          <w:b/>
          <w:i/>
          <w:color w:val="000000"/>
        </w:rPr>
        <w:t xml:space="preserve"> </w:t>
      </w:r>
      <w:proofErr w:type="gramStart"/>
      <w:r w:rsidR="00EB1F49" w:rsidRPr="003D1A8D">
        <w:rPr>
          <w:b/>
          <w:i/>
          <w:color w:val="000000"/>
        </w:rPr>
        <w:t>И.</w:t>
      </w:r>
      <w:r w:rsidRPr="003D1A8D">
        <w:rPr>
          <w:b/>
          <w:i/>
          <w:color w:val="000000"/>
        </w:rPr>
        <w:t>Д</w:t>
      </w:r>
      <w:r w:rsidR="00EB1F49" w:rsidRPr="003D1A8D">
        <w:rPr>
          <w:b/>
          <w:i/>
          <w:color w:val="000000"/>
        </w:rPr>
        <w:t>.</w:t>
      </w:r>
      <w:proofErr w:type="gramEnd"/>
      <w:r w:rsidR="00EB1F49" w:rsidRPr="003D1A8D">
        <w:rPr>
          <w:b/>
          <w:i/>
          <w:color w:val="000000"/>
        </w:rPr>
        <w:t xml:space="preserve">, </w:t>
      </w:r>
      <w:r w:rsidRPr="003D1A8D">
        <w:rPr>
          <w:b/>
          <w:i/>
          <w:color w:val="000000"/>
        </w:rPr>
        <w:t>Никитина</w:t>
      </w:r>
      <w:r w:rsidR="00EB1F49" w:rsidRPr="003D1A8D">
        <w:rPr>
          <w:b/>
          <w:i/>
          <w:color w:val="000000"/>
        </w:rPr>
        <w:t xml:space="preserve"> </w:t>
      </w:r>
      <w:r w:rsidRPr="003D1A8D">
        <w:rPr>
          <w:b/>
          <w:i/>
          <w:color w:val="000000"/>
        </w:rPr>
        <w:t>В</w:t>
      </w:r>
      <w:r w:rsidR="00EB1F49" w:rsidRPr="003D1A8D">
        <w:rPr>
          <w:b/>
          <w:i/>
          <w:color w:val="000000"/>
        </w:rPr>
        <w:t>.</w:t>
      </w:r>
      <w:r w:rsidRPr="003D1A8D">
        <w:rPr>
          <w:b/>
          <w:i/>
          <w:color w:val="000000"/>
        </w:rPr>
        <w:t>Н</w:t>
      </w:r>
      <w:r w:rsidRPr="00C708EA">
        <w:rPr>
          <w:b/>
          <w:i/>
          <w:color w:val="000000"/>
        </w:rPr>
        <w:t>.</w:t>
      </w:r>
    </w:p>
    <w:p w14:paraId="4E5926DA" w14:textId="77777777" w:rsidR="00130241" w:rsidRPr="003D1A8D" w:rsidRDefault="00EB1F49" w:rsidP="003D1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 xml:space="preserve">Студент, </w:t>
      </w:r>
      <w:r w:rsidR="00C708EA">
        <w:rPr>
          <w:i/>
          <w:color w:val="000000"/>
        </w:rPr>
        <w:t>3</w:t>
      </w:r>
      <w:r w:rsidRPr="003D1A8D">
        <w:rPr>
          <w:i/>
          <w:color w:val="000000"/>
        </w:rPr>
        <w:t xml:space="preserve"> курс </w:t>
      </w:r>
      <w:r w:rsidR="000035AC" w:rsidRPr="003D1A8D">
        <w:rPr>
          <w:i/>
          <w:color w:val="000000"/>
        </w:rPr>
        <w:t>бакалавриата</w:t>
      </w:r>
    </w:p>
    <w:p w14:paraId="4D346458" w14:textId="77777777" w:rsidR="00130241" w:rsidRPr="003D1A8D" w:rsidRDefault="00EB1F49" w:rsidP="003D1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 xml:space="preserve">Московский государственный университет имени </w:t>
      </w:r>
      <w:proofErr w:type="gramStart"/>
      <w:r w:rsidRPr="003D1A8D">
        <w:rPr>
          <w:i/>
          <w:color w:val="000000"/>
        </w:rPr>
        <w:t>М.В.</w:t>
      </w:r>
      <w:proofErr w:type="gramEnd"/>
      <w:r w:rsidR="00921D45" w:rsidRPr="003D1A8D">
        <w:rPr>
          <w:i/>
          <w:color w:val="000000"/>
        </w:rPr>
        <w:t xml:space="preserve"> </w:t>
      </w:r>
      <w:r w:rsidRPr="003D1A8D">
        <w:rPr>
          <w:i/>
          <w:color w:val="000000"/>
        </w:rPr>
        <w:t>Ломоносова, </w:t>
      </w:r>
    </w:p>
    <w:p w14:paraId="6DFA5411" w14:textId="77777777" w:rsidR="00130241" w:rsidRPr="003D1A8D" w:rsidRDefault="00391C38" w:rsidP="003D1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>химический</w:t>
      </w:r>
      <w:r w:rsidR="00EB1F49" w:rsidRPr="003D1A8D">
        <w:rPr>
          <w:i/>
          <w:color w:val="000000"/>
        </w:rPr>
        <w:t xml:space="preserve"> факультет, Москва, Россия</w:t>
      </w:r>
    </w:p>
    <w:p w14:paraId="3777F0AF" w14:textId="77777777" w:rsidR="00130241" w:rsidRPr="003D1A8D" w:rsidRDefault="00EB1F49" w:rsidP="003D1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>E</w:t>
      </w:r>
      <w:r w:rsidR="003B76D6" w:rsidRPr="003D1A8D">
        <w:rPr>
          <w:i/>
          <w:color w:val="000000"/>
        </w:rPr>
        <w:t>-</w:t>
      </w:r>
      <w:r w:rsidRPr="003D1A8D">
        <w:rPr>
          <w:i/>
          <w:color w:val="000000"/>
        </w:rPr>
        <w:t xml:space="preserve">mail: </w:t>
      </w:r>
      <w:r w:rsidR="000035AC" w:rsidRPr="003D1A8D">
        <w:rPr>
          <w:i/>
          <w:iCs/>
          <w:color w:val="000000"/>
          <w:u w:val="single"/>
          <w:shd w:val="clear" w:color="auto" w:fill="FFFFFF"/>
        </w:rPr>
        <w:t>solovyevid@my.msu.ru</w:t>
      </w:r>
    </w:p>
    <w:p w14:paraId="0F59419E" w14:textId="77777777" w:rsidR="00C708EA" w:rsidRDefault="00C708EA" w:rsidP="00C708EA">
      <w:pPr>
        <w:ind w:firstLine="567"/>
        <w:jc w:val="both"/>
        <w:textAlignment w:val="baseline"/>
      </w:pPr>
      <w:r>
        <w:t>Концентрация глюкозы в крови является ключевым параметром для больных сахарным диабетом. Для определения концентрации глюкозы удобно использовать электрохимические глюкометры, принцип работы которых основан на ферментативной реакции. Для регистрации сигнала в виде тока используются диффузионно-подвижные электрохимически активные вещества – медиаторы.</w:t>
      </w:r>
    </w:p>
    <w:p w14:paraId="6E370E48" w14:textId="77777777" w:rsidR="00C708EA" w:rsidRPr="00182128" w:rsidRDefault="00C708EA" w:rsidP="00C708EA">
      <w:pPr>
        <w:ind w:firstLine="567"/>
        <w:jc w:val="both"/>
        <w:textAlignment w:val="baseline"/>
      </w:pPr>
      <w:r>
        <w:t xml:space="preserve">Цель работы: </w:t>
      </w:r>
      <w:r w:rsidRPr="00182128">
        <w:t>исследование аналитических характеристик тест-полосок на основе одностадийной модификации электродов. В данной работе были определены скорости высвобождения медиаторов K</w:t>
      </w:r>
      <w:r w:rsidRPr="00182128">
        <w:rPr>
          <w:vertAlign w:val="subscript"/>
        </w:rPr>
        <w:t>3</w:t>
      </w:r>
      <w:r w:rsidRPr="00182128">
        <w:t>[</w:t>
      </w:r>
      <w:proofErr w:type="gramStart"/>
      <w:r w:rsidRPr="00182128">
        <w:t>Fe(</w:t>
      </w:r>
      <w:proofErr w:type="gramEnd"/>
      <w:r w:rsidRPr="00182128">
        <w:t>CN)</w:t>
      </w:r>
      <w:r w:rsidRPr="00182128">
        <w:rPr>
          <w:vertAlign w:val="subscript"/>
        </w:rPr>
        <w:t>6</w:t>
      </w:r>
      <w:r w:rsidRPr="00182128">
        <w:t>] и [Ru(NH</w:t>
      </w:r>
      <w:r w:rsidRPr="00182128">
        <w:rPr>
          <w:vertAlign w:val="subscript"/>
        </w:rPr>
        <w:t>3</w:t>
      </w:r>
      <w:r w:rsidRPr="00182128">
        <w:t>)</w:t>
      </w:r>
      <w:r w:rsidRPr="00182128">
        <w:rPr>
          <w:vertAlign w:val="subscript"/>
        </w:rPr>
        <w:t>6</w:t>
      </w:r>
      <w:r w:rsidRPr="00182128">
        <w:t>]Cl</w:t>
      </w:r>
      <w:r w:rsidRPr="00182128">
        <w:rPr>
          <w:vertAlign w:val="subscript"/>
        </w:rPr>
        <w:t>3</w:t>
      </w:r>
      <w:r w:rsidRPr="00182128">
        <w:t xml:space="preserve"> из </w:t>
      </w:r>
      <w:proofErr w:type="spellStart"/>
      <w:r w:rsidRPr="00182128">
        <w:t>хитозановой</w:t>
      </w:r>
      <w:proofErr w:type="spellEnd"/>
      <w:r w:rsidRPr="00182128">
        <w:t xml:space="preserve"> мембраны различной концентрации методом циклической вольтамперометрии в буферном растворе</w:t>
      </w:r>
      <w:r w:rsidR="00215F6B" w:rsidRPr="00182128">
        <w:t xml:space="preserve"> </w:t>
      </w:r>
      <w:r w:rsidRPr="00182128">
        <w:t xml:space="preserve">[1]. На основе полученных данных обнаружена прямая корреляция между чувствительностью тест-полосок и скоростью высвобождения медиаторов. С целью повышения чувствительности изучили влияние неионогенных ПАВ, таких как </w:t>
      </w:r>
      <w:proofErr w:type="spellStart"/>
      <w:r w:rsidRPr="00182128">
        <w:t>Triton</w:t>
      </w:r>
      <w:proofErr w:type="spellEnd"/>
      <w:r w:rsidRPr="00182128">
        <w:t xml:space="preserve"> x-100 и Tween-60, включенных в состав мембраны, на характеристики тест-полосок. В итоге, при использовании ПАВ отмечено увеличение чувствительности тест-полосок в 1.5 раза. </w:t>
      </w:r>
    </w:p>
    <w:p w14:paraId="512BCFB9" w14:textId="77777777" w:rsidR="00C708EA" w:rsidRPr="00182128" w:rsidRDefault="00C708EA" w:rsidP="00C708EA">
      <w:pPr>
        <w:ind w:firstLine="567"/>
        <w:jc w:val="both"/>
        <w:textAlignment w:val="baseline"/>
      </w:pPr>
      <w:r w:rsidRPr="00182128">
        <w:t>При переходе от модельных растворов к цельной крови чувствительность тест-полосок понижается</w:t>
      </w:r>
      <w:r w:rsidR="00215F6B" w:rsidRPr="00182128">
        <w:t>.</w:t>
      </w:r>
      <w:r w:rsidRPr="00182128">
        <w:t xml:space="preserve"> </w:t>
      </w:r>
      <w:r w:rsidR="00215F6B" w:rsidRPr="00182128">
        <w:t>Т</w:t>
      </w:r>
      <w:r w:rsidRPr="00182128">
        <w:t>ак для коммерческих тест-полосок чувствительность падает примерно в 3 раза</w:t>
      </w:r>
      <w:r w:rsidR="00CD1794" w:rsidRPr="00182128">
        <w:t xml:space="preserve"> </w:t>
      </w:r>
      <w:r w:rsidRPr="00182128">
        <w:t>[2]. Для тест-полосок, на основе трехкомпонентной смеси, содержащей, в качестве медиатора K</w:t>
      </w:r>
      <w:r w:rsidRPr="00182128">
        <w:rPr>
          <w:vertAlign w:val="subscript"/>
        </w:rPr>
        <w:t>3</w:t>
      </w:r>
      <w:r w:rsidRPr="00182128">
        <w:t>[</w:t>
      </w:r>
      <w:proofErr w:type="gramStart"/>
      <w:r w:rsidRPr="00182128">
        <w:t>Fe(</w:t>
      </w:r>
      <w:proofErr w:type="gramEnd"/>
      <w:r w:rsidRPr="00182128">
        <w:t>CN)</w:t>
      </w:r>
      <w:r w:rsidRPr="00182128">
        <w:rPr>
          <w:vertAlign w:val="subscript"/>
        </w:rPr>
        <w:t>6</w:t>
      </w:r>
      <w:r w:rsidRPr="00182128">
        <w:t>], чувствительность в образцах крови сохраняется на 81%, а для тест-полосок на основе [Ru(NH</w:t>
      </w:r>
      <w:r w:rsidRPr="00182128">
        <w:rPr>
          <w:vertAlign w:val="subscript"/>
        </w:rPr>
        <w:t>3</w:t>
      </w:r>
      <w:r w:rsidRPr="00182128">
        <w:t>)</w:t>
      </w:r>
      <w:r w:rsidRPr="00182128">
        <w:rPr>
          <w:vertAlign w:val="subscript"/>
        </w:rPr>
        <w:t>6</w:t>
      </w:r>
      <w:r w:rsidRPr="00182128">
        <w:t>]Cl</w:t>
      </w:r>
      <w:r w:rsidRPr="00182128">
        <w:rPr>
          <w:vertAlign w:val="subscript"/>
        </w:rPr>
        <w:t>3</w:t>
      </w:r>
      <w:r w:rsidRPr="00182128">
        <w:t xml:space="preserve"> на 64% по сравнению с буферными растворами. При этом в крови сохраняется широкий диапазон линейности, который включает в себя весь возможный диапазон содержания глюкозы в </w:t>
      </w:r>
      <w:r w:rsidR="00215F6B" w:rsidRPr="00182128">
        <w:t>крови</w:t>
      </w:r>
      <w:r w:rsidRPr="00182128">
        <w:t xml:space="preserve"> человека.</w:t>
      </w:r>
    </w:p>
    <w:p w14:paraId="18CCD7E2" w14:textId="77777777" w:rsidR="00C708EA" w:rsidRDefault="00C708EA" w:rsidP="00C708EA">
      <w:pPr>
        <w:ind w:firstLine="567"/>
        <w:jc w:val="both"/>
        <w:textAlignment w:val="baseline"/>
      </w:pPr>
      <w:r w:rsidRPr="00182128">
        <w:t>Для изучения стабильности тест-полосок их подвергали нагреву при температуре 60°С</w:t>
      </w:r>
      <w:r w:rsidR="00423AE7" w:rsidRPr="00182128">
        <w:t xml:space="preserve"> </w:t>
      </w:r>
      <w:r w:rsidRPr="00182128">
        <w:t>[2]. Чувствительность тест-полосок на основе [</w:t>
      </w:r>
      <w:proofErr w:type="gramStart"/>
      <w:r w:rsidRPr="00182128">
        <w:t>Ru(</w:t>
      </w:r>
      <w:proofErr w:type="gramEnd"/>
      <w:r w:rsidRPr="00182128">
        <w:t>NH</w:t>
      </w:r>
      <w:r w:rsidRPr="00182128">
        <w:rPr>
          <w:vertAlign w:val="subscript"/>
        </w:rPr>
        <w:t>3</w:t>
      </w:r>
      <w:r w:rsidRPr="00182128">
        <w:t>)</w:t>
      </w:r>
      <w:r w:rsidRPr="00182128">
        <w:rPr>
          <w:vertAlign w:val="subscript"/>
        </w:rPr>
        <w:t>6</w:t>
      </w:r>
      <w:r w:rsidRPr="00182128">
        <w:t>]Cl</w:t>
      </w:r>
      <w:r w:rsidRPr="00182128">
        <w:rPr>
          <w:vertAlign w:val="subscript"/>
        </w:rPr>
        <w:t>3</w:t>
      </w:r>
      <w:r w:rsidRPr="00182128">
        <w:t xml:space="preserve"> после </w:t>
      </w:r>
      <w:r w:rsidR="00215F6B" w:rsidRPr="00182128">
        <w:t>пяти</w:t>
      </w:r>
      <w:r w:rsidRPr="00182128">
        <w:t xml:space="preserve"> часов выдерживания при повышенной температуре сохранилась на 89%, а на основе K</w:t>
      </w:r>
      <w:r w:rsidRPr="00182128">
        <w:rPr>
          <w:vertAlign w:val="subscript"/>
        </w:rPr>
        <w:t>3</w:t>
      </w:r>
      <w:r w:rsidRPr="00182128">
        <w:t>[Fe(CN)</w:t>
      </w:r>
      <w:r w:rsidRPr="00182128">
        <w:rPr>
          <w:vertAlign w:val="subscript"/>
        </w:rPr>
        <w:t>6</w:t>
      </w:r>
      <w:r w:rsidRPr="00182128">
        <w:t>] на 88%. Что касается коммерческих тест-полосок, то они сохраняли только 25% от первоначального отклика. Таким образом, природа медиатора не влияет на температурную стабильность тест-полосок, а хитозан является матрицей, в которой сохраняется активность фермента даже в условиях высоких температур.</w:t>
      </w:r>
    </w:p>
    <w:p w14:paraId="0582AD41" w14:textId="77777777" w:rsidR="000035AC" w:rsidRPr="003D1A8D" w:rsidRDefault="00C708EA" w:rsidP="00C708EA">
      <w:pPr>
        <w:ind w:firstLine="567"/>
        <w:jc w:val="both"/>
        <w:textAlignment w:val="baseline"/>
      </w:pPr>
      <w:r>
        <w:t>Таким образом, получены высокостабильные тест-полоски, подходящие для анализа цельной крови с возможностью долгого хранения при комнатной температуре.</w:t>
      </w:r>
    </w:p>
    <w:p w14:paraId="013D5A47" w14:textId="77777777" w:rsidR="00423AE7" w:rsidRPr="00553C66" w:rsidRDefault="00E60AF1" w:rsidP="00423AE7">
      <w:pPr>
        <w:ind w:firstLine="397"/>
        <w:rPr>
          <w:i/>
          <w:iCs/>
        </w:rPr>
      </w:pPr>
      <w:r w:rsidRPr="003D1A8D">
        <w:rPr>
          <w:i/>
          <w:iCs/>
        </w:rPr>
        <w:t xml:space="preserve">Работа выполнена при поддержке </w:t>
      </w:r>
      <w:r w:rsidR="00423AE7" w:rsidRPr="00553C66">
        <w:rPr>
          <w:i/>
          <w:iCs/>
        </w:rPr>
        <w:t xml:space="preserve">РНФ </w:t>
      </w:r>
      <w:r w:rsidR="00423AE7" w:rsidRPr="00553C66">
        <w:rPr>
          <w:i/>
          <w:iCs/>
          <w:lang w:val="en-US"/>
        </w:rPr>
        <w:t>No</w:t>
      </w:r>
      <w:r w:rsidR="00423AE7" w:rsidRPr="00553C66">
        <w:rPr>
          <w:i/>
          <w:iCs/>
        </w:rPr>
        <w:t xml:space="preserve">. 24-23-00250 </w:t>
      </w:r>
      <w:r w:rsidR="00182128" w:rsidRPr="00182128">
        <w:rPr>
          <w:i/>
          <w:iCs/>
        </w:rPr>
        <w:t>(</w:t>
      </w:r>
      <w:hyperlink r:id="rId6" w:history="1">
        <w:r w:rsidR="00423AE7" w:rsidRPr="00553C66">
          <w:rPr>
            <w:rStyle w:val="a9"/>
            <w:i/>
            <w:iCs/>
            <w:lang w:val="en-US"/>
          </w:rPr>
          <w:t>https</w:t>
        </w:r>
        <w:r w:rsidR="00423AE7" w:rsidRPr="00553C66">
          <w:rPr>
            <w:rStyle w:val="a9"/>
            <w:i/>
            <w:iCs/>
          </w:rPr>
          <w:t>://</w:t>
        </w:r>
        <w:proofErr w:type="spellStart"/>
        <w:r w:rsidR="00423AE7" w:rsidRPr="00553C66">
          <w:rPr>
            <w:rStyle w:val="a9"/>
            <w:i/>
            <w:iCs/>
            <w:lang w:val="en-US"/>
          </w:rPr>
          <w:t>rscf</w:t>
        </w:r>
        <w:proofErr w:type="spellEnd"/>
        <w:r w:rsidR="00423AE7" w:rsidRPr="00553C66">
          <w:rPr>
            <w:rStyle w:val="a9"/>
            <w:i/>
            <w:iCs/>
          </w:rPr>
          <w:t>.</w:t>
        </w:r>
        <w:proofErr w:type="spellStart"/>
        <w:r w:rsidR="00423AE7" w:rsidRPr="00553C66">
          <w:rPr>
            <w:rStyle w:val="a9"/>
            <w:i/>
            <w:iCs/>
            <w:lang w:val="en-US"/>
          </w:rPr>
          <w:t>ru</w:t>
        </w:r>
        <w:proofErr w:type="spellEnd"/>
        <w:r w:rsidR="00423AE7" w:rsidRPr="00553C66">
          <w:rPr>
            <w:rStyle w:val="a9"/>
            <w:i/>
            <w:iCs/>
          </w:rPr>
          <w:t>/</w:t>
        </w:r>
        <w:r w:rsidR="00423AE7" w:rsidRPr="00553C66">
          <w:rPr>
            <w:rStyle w:val="a9"/>
            <w:i/>
            <w:iCs/>
            <w:lang w:val="en-US"/>
          </w:rPr>
          <w:t>project</w:t>
        </w:r>
        <w:r w:rsidR="00423AE7" w:rsidRPr="00553C66">
          <w:rPr>
            <w:rStyle w:val="a9"/>
            <w:i/>
            <w:iCs/>
          </w:rPr>
          <w:t>/24-23-00250/</w:t>
        </w:r>
      </w:hyperlink>
      <w:r w:rsidR="00423AE7" w:rsidRPr="00553C66">
        <w:rPr>
          <w:i/>
          <w:iCs/>
        </w:rPr>
        <w:t>).</w:t>
      </w:r>
    </w:p>
    <w:p w14:paraId="29BD0A18" w14:textId="77777777" w:rsidR="000035AC" w:rsidRPr="003D1A8D" w:rsidRDefault="000035AC" w:rsidP="00D7528E">
      <w:pPr>
        <w:ind w:firstLine="567"/>
        <w:jc w:val="both"/>
        <w:textAlignment w:val="baseline"/>
      </w:pPr>
    </w:p>
    <w:p w14:paraId="54390C51" w14:textId="77777777" w:rsidR="00E721BC" w:rsidRPr="00CD1794" w:rsidRDefault="00302685" w:rsidP="00E72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D1A8D">
        <w:rPr>
          <w:b/>
          <w:color w:val="000000"/>
        </w:rPr>
        <w:t>Литература</w:t>
      </w:r>
    </w:p>
    <w:p w14:paraId="2B9A5D5A" w14:textId="77777777" w:rsidR="00C708EA" w:rsidRPr="00C708EA" w:rsidRDefault="00C708EA" w:rsidP="00C708EA">
      <w:pPr>
        <w:pStyle w:val="EndNoteBibliography"/>
        <w:rPr>
          <w:lang w:val="en-US"/>
        </w:rPr>
      </w:pPr>
      <w:r>
        <w:rPr>
          <w:lang w:val="en-US"/>
        </w:rPr>
        <w:t xml:space="preserve">[1] </w:t>
      </w:r>
      <w:r w:rsidRPr="00C708EA">
        <w:rPr>
          <w:color w:val="000000"/>
          <w:lang w:val="en-US"/>
        </w:rPr>
        <w:t>V. N. Nikitina, E. V. Daboss, D. V. Vokhmyanina et al. The widest linear range of glucose test strips based on various mediators and membranes for whole blood analysis // J</w:t>
      </w:r>
      <w:r w:rsidR="00423AE7" w:rsidRPr="00423AE7">
        <w:rPr>
          <w:color w:val="000000"/>
          <w:lang w:val="en-US"/>
        </w:rPr>
        <w:t>.</w:t>
      </w:r>
      <w:r w:rsidRPr="00C708EA">
        <w:rPr>
          <w:color w:val="000000"/>
          <w:lang w:val="en-US"/>
        </w:rPr>
        <w:t xml:space="preserve"> Electroanal</w:t>
      </w:r>
      <w:r w:rsidR="00423AE7" w:rsidRPr="00423AE7">
        <w:rPr>
          <w:color w:val="000000"/>
          <w:lang w:val="en-US"/>
        </w:rPr>
        <w:t>.</w:t>
      </w:r>
      <w:r w:rsidRPr="00C708EA">
        <w:rPr>
          <w:color w:val="000000"/>
          <w:lang w:val="en-US"/>
        </w:rPr>
        <w:t xml:space="preserve"> Chem</w:t>
      </w:r>
      <w:r w:rsidR="00423AE7" w:rsidRPr="00CD1794">
        <w:rPr>
          <w:color w:val="000000"/>
          <w:lang w:val="en-US"/>
        </w:rPr>
        <w:t xml:space="preserve">. </w:t>
      </w:r>
      <w:r w:rsidRPr="00C708EA">
        <w:rPr>
          <w:color w:val="000000"/>
          <w:lang w:val="en-US"/>
        </w:rPr>
        <w:t>2023. Vol. 938. P. 117445.</w:t>
      </w:r>
    </w:p>
    <w:p w14:paraId="5BFC004A" w14:textId="77777777" w:rsidR="00E721BC" w:rsidRPr="003D1A8D" w:rsidRDefault="00E721BC" w:rsidP="00E721BC">
      <w:pPr>
        <w:pStyle w:val="EndNoteBibliography"/>
        <w:rPr>
          <w:lang w:val="en-US"/>
        </w:rPr>
      </w:pPr>
      <w:r w:rsidRPr="003D1A8D">
        <w:rPr>
          <w:color w:val="000000"/>
        </w:rPr>
        <w:fldChar w:fldCharType="begin"/>
      </w:r>
      <w:r w:rsidRPr="003D1A8D">
        <w:rPr>
          <w:color w:val="000000"/>
          <w:lang w:val="en-GB"/>
        </w:rPr>
        <w:instrText xml:space="preserve"> ADDIN EN.REFLIST </w:instrText>
      </w:r>
      <w:r w:rsidRPr="003D1A8D">
        <w:rPr>
          <w:color w:val="000000"/>
        </w:rPr>
        <w:fldChar w:fldCharType="separate"/>
      </w:r>
      <w:r w:rsidR="00D320CF" w:rsidRPr="00182128">
        <w:rPr>
          <w:lang w:val="en-GB"/>
        </w:rPr>
        <w:t>[</w:t>
      </w:r>
      <w:r w:rsidR="00C708EA" w:rsidRPr="00182128">
        <w:rPr>
          <w:lang w:val="en-GB"/>
        </w:rPr>
        <w:t>2</w:t>
      </w:r>
      <w:r w:rsidR="00D320CF" w:rsidRPr="00182128">
        <w:rPr>
          <w:lang w:val="en-GB"/>
        </w:rPr>
        <w:t>] Ni</w:t>
      </w:r>
      <w:r w:rsidR="00D320CF" w:rsidRPr="003D1A8D">
        <w:rPr>
          <w:lang w:val="en-GB"/>
        </w:rPr>
        <w:t>kitina V. N., Karastsialiova A. R., Karyakin A. A. Glucose test strips with the largest linear range made via single step modification by glucose oxidase-hexacyanoferrate-chitosan mixture // </w:t>
      </w:r>
      <w:r w:rsidR="003D1A8D" w:rsidRPr="003D1A8D">
        <w:rPr>
          <w:lang w:val="en-GB"/>
        </w:rPr>
        <w:t>Biosens. Bioelectron</w:t>
      </w:r>
      <w:r w:rsidR="00D320CF" w:rsidRPr="003D1A8D">
        <w:rPr>
          <w:lang w:val="en-GB"/>
        </w:rPr>
        <w:t>.  2023. Vol. 220. P. 114851.</w:t>
      </w:r>
    </w:p>
    <w:p w14:paraId="6DA3F25E" w14:textId="77777777" w:rsidR="00C708EA" w:rsidRPr="00C708EA" w:rsidRDefault="00E721BC" w:rsidP="00C70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color w:val="000000"/>
          <w:lang w:val="en-US"/>
        </w:rPr>
      </w:pPr>
      <w:r w:rsidRPr="003D1A8D">
        <w:rPr>
          <w:color w:val="000000"/>
        </w:rPr>
        <w:fldChar w:fldCharType="end"/>
      </w:r>
    </w:p>
    <w:sectPr w:rsidR="00C708EA" w:rsidRPr="00C708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80185"/>
    <w:multiLevelType w:val="hybridMultilevel"/>
    <w:tmpl w:val="22AC94E2"/>
    <w:lvl w:ilvl="0" w:tplc="E710F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03213">
    <w:abstractNumId w:val="1"/>
  </w:num>
  <w:num w:numId="2" w16cid:durableId="155268571">
    <w:abstractNumId w:val="2"/>
  </w:num>
  <w:num w:numId="3" w16cid:durableId="141571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Electroanalytical Chem ru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0ff9at6p2tf5eevzk5dadyr9vr00d0wtwr&quot;&gt;Test-strips&lt;record-ids&gt;&lt;item&gt;101&lt;/item&gt;&lt;/record-ids&gt;&lt;/item&gt;&lt;/Libraries&gt;"/>
  </w:docVars>
  <w:rsids>
    <w:rsidRoot w:val="00130241"/>
    <w:rsid w:val="000035AC"/>
    <w:rsid w:val="00063966"/>
    <w:rsid w:val="00086081"/>
    <w:rsid w:val="00101A1C"/>
    <w:rsid w:val="00106375"/>
    <w:rsid w:val="00116478"/>
    <w:rsid w:val="00130241"/>
    <w:rsid w:val="00182128"/>
    <w:rsid w:val="001E61C2"/>
    <w:rsid w:val="001F0493"/>
    <w:rsid w:val="00215F6B"/>
    <w:rsid w:val="002264EE"/>
    <w:rsid w:val="0023307C"/>
    <w:rsid w:val="002447C9"/>
    <w:rsid w:val="00302685"/>
    <w:rsid w:val="0031361E"/>
    <w:rsid w:val="00391C38"/>
    <w:rsid w:val="003B76D6"/>
    <w:rsid w:val="003D1A8D"/>
    <w:rsid w:val="00423AE7"/>
    <w:rsid w:val="00475F84"/>
    <w:rsid w:val="004A26A3"/>
    <w:rsid w:val="004B7DB5"/>
    <w:rsid w:val="004D7452"/>
    <w:rsid w:val="004F0EDF"/>
    <w:rsid w:val="00522BF1"/>
    <w:rsid w:val="00590166"/>
    <w:rsid w:val="005D0F27"/>
    <w:rsid w:val="006F7A19"/>
    <w:rsid w:val="00713E6B"/>
    <w:rsid w:val="00775389"/>
    <w:rsid w:val="00797838"/>
    <w:rsid w:val="007A2765"/>
    <w:rsid w:val="007C36D8"/>
    <w:rsid w:val="007F2744"/>
    <w:rsid w:val="008931BE"/>
    <w:rsid w:val="008C17E0"/>
    <w:rsid w:val="008D26DC"/>
    <w:rsid w:val="00921D45"/>
    <w:rsid w:val="00944611"/>
    <w:rsid w:val="0096045C"/>
    <w:rsid w:val="009A66DB"/>
    <w:rsid w:val="009B2F80"/>
    <w:rsid w:val="009B3300"/>
    <w:rsid w:val="009D7B5E"/>
    <w:rsid w:val="009F3380"/>
    <w:rsid w:val="00A02163"/>
    <w:rsid w:val="00A314FE"/>
    <w:rsid w:val="00AC65C4"/>
    <w:rsid w:val="00AD7CBC"/>
    <w:rsid w:val="00BF36F8"/>
    <w:rsid w:val="00BF4622"/>
    <w:rsid w:val="00C708EA"/>
    <w:rsid w:val="00CD00B1"/>
    <w:rsid w:val="00CD1794"/>
    <w:rsid w:val="00D22306"/>
    <w:rsid w:val="00D2582E"/>
    <w:rsid w:val="00D320CF"/>
    <w:rsid w:val="00D42542"/>
    <w:rsid w:val="00D7528E"/>
    <w:rsid w:val="00D8121C"/>
    <w:rsid w:val="00E22189"/>
    <w:rsid w:val="00E60AF1"/>
    <w:rsid w:val="00E6690D"/>
    <w:rsid w:val="00E721BC"/>
    <w:rsid w:val="00E74069"/>
    <w:rsid w:val="00EA1EB3"/>
    <w:rsid w:val="00EB1F49"/>
    <w:rsid w:val="00F865B3"/>
    <w:rsid w:val="00FB1509"/>
    <w:rsid w:val="00FC76A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5BAC"/>
  <w15:chartTrackingRefBased/>
  <w15:docId w15:val="{D7428E29-1943-47CD-913C-CADE5E05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8D"/>
    <w:pPr>
      <w:ind w:left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94461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4461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944611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461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44611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44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44611"/>
    <w:rPr>
      <w:rFonts w:ascii="Tahoma" w:eastAsia="Times New Roman" w:hAnsi="Tahoma" w:cs="Tahoma"/>
      <w:sz w:val="16"/>
      <w:szCs w:val="16"/>
    </w:rPr>
  </w:style>
  <w:style w:type="paragraph" w:styleId="af1">
    <w:name w:val="Revision"/>
    <w:hidden/>
    <w:uiPriority w:val="99"/>
    <w:semiHidden/>
    <w:rsid w:val="00E60AF1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E721BC"/>
    <w:pPr>
      <w:jc w:val="center"/>
    </w:pPr>
    <w:rPr>
      <w:noProof/>
    </w:rPr>
  </w:style>
  <w:style w:type="character" w:customStyle="1" w:styleId="EndNoteBibliographyTitle0">
    <w:name w:val="EndNote Bibliography Title Знак"/>
    <w:link w:val="EndNoteBibliographyTitle"/>
    <w:rsid w:val="00E721BC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EndNoteBibliography">
    <w:name w:val="EndNote Bibliography"/>
    <w:basedOn w:val="a"/>
    <w:link w:val="EndNoteBibliography0"/>
    <w:rsid w:val="00E721BC"/>
    <w:rPr>
      <w:noProof/>
    </w:rPr>
  </w:style>
  <w:style w:type="character" w:customStyle="1" w:styleId="EndNoteBibliography0">
    <w:name w:val="EndNote Bibliography Знак"/>
    <w:link w:val="EndNoteBibliography"/>
    <w:rsid w:val="00E721BC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styleId="af2">
    <w:name w:val="Unresolved Mention"/>
    <w:uiPriority w:val="99"/>
    <w:semiHidden/>
    <w:unhideWhenUsed/>
    <w:rsid w:val="00E7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3-002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4C52C-E461-4D80-86D2-85CD92E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3252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https://rscf.ru/project/24-23-00250/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cp:lastModifiedBy>мария комкова</cp:lastModifiedBy>
  <cp:revision>2</cp:revision>
  <dcterms:created xsi:type="dcterms:W3CDTF">2024-03-01T13:37:00Z</dcterms:created>
  <dcterms:modified xsi:type="dcterms:W3CDTF">2024-03-01T13:37:00Z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