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14C0E" w14:textId="45F2B1BA" w:rsidR="00D01AD3" w:rsidRDefault="00D01AD3" w:rsidP="00C91615">
      <w:pPr>
        <w:jc w:val="center"/>
        <w:rPr>
          <w:b/>
          <w:color w:val="000000"/>
        </w:rPr>
      </w:pPr>
      <w:proofErr w:type="spellStart"/>
      <w:r w:rsidRPr="00D01AD3">
        <w:rPr>
          <w:b/>
          <w:color w:val="000000"/>
        </w:rPr>
        <w:t>Вольтамперометрическое</w:t>
      </w:r>
      <w:proofErr w:type="spellEnd"/>
      <w:r w:rsidRPr="00D01AD3">
        <w:rPr>
          <w:b/>
          <w:color w:val="000000"/>
        </w:rPr>
        <w:t xml:space="preserve"> определение и амперометрическое детектирование тетрациклина на композитных электродах на основе </w:t>
      </w:r>
      <w:bookmarkStart w:id="0" w:name="_GoBack"/>
      <w:bookmarkEnd w:id="0"/>
      <w:r w:rsidR="00F52C97">
        <w:rPr>
          <w:b/>
          <w:color w:val="000000"/>
        </w:rPr>
        <w:t xml:space="preserve">восстановленного </w:t>
      </w:r>
      <w:r w:rsidRPr="00D01AD3">
        <w:rPr>
          <w:b/>
          <w:color w:val="000000"/>
        </w:rPr>
        <w:t xml:space="preserve">оксида графена и биметаллических систем </w:t>
      </w:r>
    </w:p>
    <w:p w14:paraId="26EDC7BC" w14:textId="6E9F9FB5" w:rsidR="00C91615" w:rsidRPr="00D01AD3" w:rsidRDefault="00C91615" w:rsidP="00C91615">
      <w:pPr>
        <w:jc w:val="center"/>
        <w:rPr>
          <w:b/>
          <w:i/>
          <w:color w:val="000000"/>
        </w:rPr>
      </w:pPr>
      <w:r w:rsidRPr="00D01AD3">
        <w:rPr>
          <w:b/>
          <w:i/>
          <w:color w:val="000000"/>
        </w:rPr>
        <w:t xml:space="preserve">Поздняк А.А., </w:t>
      </w:r>
      <w:proofErr w:type="spellStart"/>
      <w:r w:rsidRPr="00D01AD3">
        <w:rPr>
          <w:b/>
          <w:i/>
          <w:color w:val="000000"/>
        </w:rPr>
        <w:t>Гедмина</w:t>
      </w:r>
      <w:proofErr w:type="spellEnd"/>
      <w:r w:rsidRPr="00D01AD3">
        <w:rPr>
          <w:b/>
          <w:i/>
          <w:color w:val="000000"/>
        </w:rPr>
        <w:t xml:space="preserve"> А.В, </w:t>
      </w:r>
      <w:proofErr w:type="spellStart"/>
      <w:r w:rsidRPr="00D01AD3">
        <w:rPr>
          <w:b/>
          <w:i/>
          <w:color w:val="000000"/>
        </w:rPr>
        <w:t>Челнокова</w:t>
      </w:r>
      <w:proofErr w:type="spellEnd"/>
      <w:r w:rsidRPr="00D01AD3">
        <w:rPr>
          <w:b/>
          <w:i/>
          <w:color w:val="000000"/>
        </w:rPr>
        <w:t xml:space="preserve"> И.А., </w:t>
      </w:r>
      <w:proofErr w:type="spellStart"/>
      <w:r w:rsidRPr="00D01AD3">
        <w:rPr>
          <w:b/>
          <w:i/>
          <w:color w:val="000000"/>
        </w:rPr>
        <w:t>Шайдарова</w:t>
      </w:r>
      <w:proofErr w:type="spellEnd"/>
      <w:r w:rsidRPr="00D01AD3">
        <w:rPr>
          <w:b/>
          <w:i/>
          <w:color w:val="000000"/>
        </w:rPr>
        <w:t xml:space="preserve"> Л.Г.</w:t>
      </w:r>
    </w:p>
    <w:p w14:paraId="0B1450FD" w14:textId="4BBB3C91" w:rsidR="00C91615" w:rsidRPr="001D1926" w:rsidRDefault="00C91615" w:rsidP="00C916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D1926">
        <w:rPr>
          <w:i/>
          <w:iCs/>
          <w:color w:val="000000"/>
        </w:rPr>
        <w:t xml:space="preserve">Аспирант, </w:t>
      </w:r>
      <w:r>
        <w:rPr>
          <w:i/>
          <w:iCs/>
          <w:color w:val="000000"/>
        </w:rPr>
        <w:t>4</w:t>
      </w:r>
      <w:r w:rsidRPr="001D1926">
        <w:rPr>
          <w:i/>
          <w:iCs/>
          <w:color w:val="000000"/>
        </w:rPr>
        <w:t xml:space="preserve"> год обучения</w:t>
      </w:r>
      <w:r w:rsidRPr="001D1926">
        <w:rPr>
          <w:i/>
          <w:color w:val="000000"/>
          <w:highlight w:val="yellow"/>
        </w:rPr>
        <w:t xml:space="preserve"> </w:t>
      </w:r>
    </w:p>
    <w:p w14:paraId="2573BDA6" w14:textId="77777777" w:rsidR="00C91615" w:rsidRPr="001D1926" w:rsidRDefault="00C91615" w:rsidP="00C91615">
      <w:pPr>
        <w:jc w:val="center"/>
        <w:rPr>
          <w:i/>
          <w:color w:val="000000"/>
        </w:rPr>
      </w:pPr>
      <w:r w:rsidRPr="001D1926">
        <w:rPr>
          <w:i/>
          <w:color w:val="000000"/>
        </w:rPr>
        <w:t>Казанский федеральный университет, Химический институт им. А.М. Бутлерова</w:t>
      </w:r>
    </w:p>
    <w:p w14:paraId="643F4492" w14:textId="77777777" w:rsidR="00C91615" w:rsidRPr="00AF0CBC" w:rsidRDefault="00C91615" w:rsidP="00C91615">
      <w:pPr>
        <w:jc w:val="center"/>
        <w:rPr>
          <w:i/>
          <w:u w:val="single"/>
        </w:rPr>
      </w:pPr>
      <w:r w:rsidRPr="00C91615">
        <w:rPr>
          <w:i/>
          <w:color w:val="000000"/>
          <w:lang w:val="en-US"/>
        </w:rPr>
        <w:t>E</w:t>
      </w:r>
      <w:r w:rsidRPr="00AF0CBC">
        <w:rPr>
          <w:i/>
          <w:color w:val="000000"/>
        </w:rPr>
        <w:t>-</w:t>
      </w:r>
      <w:r w:rsidRPr="00C91615">
        <w:rPr>
          <w:i/>
          <w:color w:val="000000"/>
          <w:lang w:val="en-US"/>
        </w:rPr>
        <w:t>mail</w:t>
      </w:r>
      <w:r w:rsidRPr="00AF0CBC">
        <w:rPr>
          <w:i/>
          <w:color w:val="000000"/>
        </w:rPr>
        <w:t xml:space="preserve">: </w:t>
      </w:r>
      <w:proofErr w:type="spellStart"/>
      <w:r w:rsidRPr="00C91615">
        <w:rPr>
          <w:i/>
          <w:u w:val="single"/>
          <w:lang w:val="en-US"/>
        </w:rPr>
        <w:t>anya</w:t>
      </w:r>
      <w:proofErr w:type="spellEnd"/>
      <w:r w:rsidRPr="00AF0CBC">
        <w:rPr>
          <w:i/>
          <w:u w:val="single"/>
        </w:rPr>
        <w:t>_</w:t>
      </w:r>
      <w:proofErr w:type="spellStart"/>
      <w:r w:rsidRPr="00C91615">
        <w:rPr>
          <w:i/>
          <w:u w:val="single"/>
          <w:lang w:val="en-US"/>
        </w:rPr>
        <w:t>pozdnyak</w:t>
      </w:r>
      <w:proofErr w:type="spellEnd"/>
      <w:r w:rsidRPr="00AF0CBC">
        <w:rPr>
          <w:i/>
          <w:u w:val="single"/>
        </w:rPr>
        <w:t>@</w:t>
      </w:r>
      <w:r w:rsidRPr="00C91615">
        <w:rPr>
          <w:i/>
          <w:u w:val="single"/>
          <w:lang w:val="en-US"/>
        </w:rPr>
        <w:t>mail</w:t>
      </w:r>
      <w:r w:rsidRPr="00AF0CBC">
        <w:rPr>
          <w:i/>
          <w:u w:val="single"/>
        </w:rPr>
        <w:t>.</w:t>
      </w:r>
      <w:proofErr w:type="spellStart"/>
      <w:r w:rsidRPr="00C91615">
        <w:rPr>
          <w:i/>
          <w:u w:val="single"/>
          <w:lang w:val="en-US"/>
        </w:rPr>
        <w:t>ru</w:t>
      </w:r>
      <w:proofErr w:type="spellEnd"/>
    </w:p>
    <w:p w14:paraId="5B4511D2" w14:textId="2E6D4A30" w:rsidR="00C91615" w:rsidRDefault="00AF0CBC" w:rsidP="00B41F50">
      <w:pPr>
        <w:ind w:firstLine="426"/>
        <w:jc w:val="both"/>
        <w:rPr>
          <w:color w:val="000000"/>
        </w:rPr>
      </w:pPr>
      <w:r>
        <w:rPr>
          <w:color w:val="000000"/>
        </w:rPr>
        <w:t>А</w:t>
      </w:r>
      <w:r w:rsidRPr="00C91615">
        <w:rPr>
          <w:color w:val="000000"/>
        </w:rPr>
        <w:t>нтибиотики тетрациклинового ряда</w:t>
      </w:r>
      <w:r>
        <w:rPr>
          <w:color w:val="000000"/>
        </w:rPr>
        <w:t>, в том числе</w:t>
      </w:r>
      <w:r w:rsidRPr="00C91615">
        <w:rPr>
          <w:color w:val="000000"/>
        </w:rPr>
        <w:t xml:space="preserve"> тетрациклин</w:t>
      </w:r>
      <w:r>
        <w:rPr>
          <w:color w:val="000000"/>
        </w:rPr>
        <w:t xml:space="preserve"> (ТЦ)</w:t>
      </w:r>
      <w:r w:rsidRPr="00C91615">
        <w:rPr>
          <w:color w:val="000000"/>
        </w:rPr>
        <w:t xml:space="preserve"> относятся </w:t>
      </w:r>
      <w:r>
        <w:rPr>
          <w:color w:val="000000"/>
        </w:rPr>
        <w:t>к</w:t>
      </w:r>
      <w:r w:rsidR="00C91615" w:rsidRPr="00C91615">
        <w:rPr>
          <w:color w:val="000000"/>
        </w:rPr>
        <w:t xml:space="preserve"> антибиотикам широкого спектра действия</w:t>
      </w:r>
      <w:r>
        <w:rPr>
          <w:color w:val="000000"/>
        </w:rPr>
        <w:t xml:space="preserve"> и </w:t>
      </w:r>
      <w:r w:rsidR="00C91615" w:rsidRPr="00C91615">
        <w:rPr>
          <w:color w:val="000000"/>
        </w:rPr>
        <w:t>используются в лечении и профилактики разли</w:t>
      </w:r>
      <w:r>
        <w:rPr>
          <w:color w:val="000000"/>
        </w:rPr>
        <w:t xml:space="preserve">чных инфекционных заболеваний </w:t>
      </w:r>
      <w:r w:rsidR="00C91615" w:rsidRPr="00C91615">
        <w:rPr>
          <w:color w:val="000000"/>
        </w:rPr>
        <w:t>животных</w:t>
      </w:r>
      <w:r>
        <w:rPr>
          <w:color w:val="000000"/>
        </w:rPr>
        <w:t>.</w:t>
      </w:r>
      <w:r w:rsidR="00C91615" w:rsidRPr="00C91615">
        <w:rPr>
          <w:color w:val="000000"/>
        </w:rPr>
        <w:t xml:space="preserve"> Повышение остаточной концентрации тетрациклина</w:t>
      </w:r>
      <w:r w:rsidR="00B41F50">
        <w:rPr>
          <w:color w:val="000000"/>
        </w:rPr>
        <w:t xml:space="preserve"> (ТЦ)</w:t>
      </w:r>
      <w:r w:rsidR="00C91615" w:rsidRPr="00C91615">
        <w:rPr>
          <w:color w:val="000000"/>
        </w:rPr>
        <w:t xml:space="preserve"> в продуктах питания может привести к серьёзным побочным эффектам в организме человека и как следствие повлиять на продолжительность жизни. Поэтому контроль качества пищевой продукции является актуальной задачей аналитической химии. </w:t>
      </w:r>
    </w:p>
    <w:p w14:paraId="783297C6" w14:textId="65BD5882" w:rsidR="00C91615" w:rsidRPr="00C91615" w:rsidRDefault="00C91615" w:rsidP="00B41F50">
      <w:pPr>
        <w:ind w:firstLine="426"/>
        <w:jc w:val="both"/>
        <w:rPr>
          <w:color w:val="000000"/>
        </w:rPr>
      </w:pPr>
      <w:r>
        <w:t xml:space="preserve">Работа посвящена разработке электродов </w:t>
      </w:r>
      <w:r w:rsidR="002E0B3D">
        <w:t xml:space="preserve">из стеклоуглерода (СУ) с иммобилизованным композитом </w:t>
      </w:r>
      <w:r>
        <w:t>на основе восстановленного оксида графена (</w:t>
      </w:r>
      <w:proofErr w:type="spellStart"/>
      <w:r>
        <w:t>ГО</w:t>
      </w:r>
      <w:r>
        <w:rPr>
          <w:vertAlign w:val="subscript"/>
        </w:rPr>
        <w:t>восс</w:t>
      </w:r>
      <w:proofErr w:type="spellEnd"/>
      <w:r>
        <w:t xml:space="preserve">) и </w:t>
      </w:r>
      <w:r w:rsidRPr="00C91615">
        <w:rPr>
          <w:color w:val="000000"/>
        </w:rPr>
        <w:t xml:space="preserve">биметаллической системы </w:t>
      </w:r>
      <w:proofErr w:type="spellStart"/>
      <w:r w:rsidRPr="00C91615">
        <w:rPr>
          <w:color w:val="000000"/>
        </w:rPr>
        <w:t>Pd-Au</w:t>
      </w:r>
      <w:proofErr w:type="spellEnd"/>
      <w:r w:rsidRPr="00C91615">
        <w:rPr>
          <w:color w:val="000000"/>
        </w:rPr>
        <w:t xml:space="preserve"> для </w:t>
      </w:r>
      <w:proofErr w:type="spellStart"/>
      <w:r w:rsidRPr="00C91615">
        <w:rPr>
          <w:color w:val="000000"/>
        </w:rPr>
        <w:t>вольтамерометрического</w:t>
      </w:r>
      <w:proofErr w:type="spellEnd"/>
      <w:r w:rsidRPr="00C91615">
        <w:rPr>
          <w:color w:val="000000"/>
        </w:rPr>
        <w:t xml:space="preserve"> определения в стационарных и амперометрического детектирования в проточных условиях тетрациклина в модельном растворе, а также в образцах цветочного мёда (</w:t>
      </w:r>
      <w:r w:rsidR="00AF0CBC">
        <w:rPr>
          <w:color w:val="000000"/>
        </w:rPr>
        <w:t>сбора районов нижнего и среднего</w:t>
      </w:r>
      <w:r w:rsidRPr="00C91615">
        <w:rPr>
          <w:color w:val="000000"/>
        </w:rPr>
        <w:t xml:space="preserve"> Поволжья).</w:t>
      </w:r>
    </w:p>
    <w:p w14:paraId="73185CCF" w14:textId="385ED082" w:rsidR="00C91615" w:rsidRDefault="00B41F50" w:rsidP="00B41F50">
      <w:pPr>
        <w:ind w:firstLine="426"/>
        <w:jc w:val="both"/>
        <w:rPr>
          <w:strike/>
        </w:rPr>
      </w:pPr>
      <w:r w:rsidRPr="00BB6FF4">
        <w:t xml:space="preserve">Модифицирование </w:t>
      </w:r>
      <w:r w:rsidR="002E0B3D">
        <w:t>СУ электрода</w:t>
      </w:r>
      <w:r w:rsidRPr="00BB6FF4">
        <w:t xml:space="preserve"> оксидом графена проводили методом капельного испарения суспензии оксида графена с хитозаном с помощью </w:t>
      </w:r>
      <w:proofErr w:type="gramStart"/>
      <w:r w:rsidRPr="00BB6FF4">
        <w:t>ИК-лампы</w:t>
      </w:r>
      <w:proofErr w:type="gramEnd"/>
      <w:r w:rsidRPr="00BB6FF4">
        <w:t xml:space="preserve"> с последующим электрохимическим восстановление оксида графена</w:t>
      </w:r>
      <w:r w:rsidR="002E0B3D">
        <w:t xml:space="preserve"> до </w:t>
      </w:r>
      <w:proofErr w:type="spellStart"/>
      <w:r w:rsidR="002E0B3D">
        <w:t>ГО</w:t>
      </w:r>
      <w:r w:rsidR="002E0B3D">
        <w:rPr>
          <w:vertAlign w:val="subscript"/>
        </w:rPr>
        <w:t>восс</w:t>
      </w:r>
      <w:proofErr w:type="spellEnd"/>
      <w:r w:rsidR="002E0B3D">
        <w:rPr>
          <w:vertAlign w:val="subscript"/>
        </w:rPr>
        <w:t>.</w:t>
      </w:r>
    </w:p>
    <w:p w14:paraId="6039DB33" w14:textId="67C47AC7" w:rsidR="00B41F50" w:rsidRDefault="00B41F50" w:rsidP="00B41F50">
      <w:pPr>
        <w:ind w:firstLine="426"/>
        <w:jc w:val="both"/>
      </w:pPr>
      <w:r>
        <w:t>Получены и</w:t>
      </w:r>
      <w:r w:rsidR="007B4731">
        <w:t xml:space="preserve"> сопоставлены АСМ-изображения, а также </w:t>
      </w:r>
      <w:r>
        <w:t xml:space="preserve">гистограммы распределения частиц по диаметрам на поверхности ВОПГ с композитом </w:t>
      </w:r>
      <w:proofErr w:type="spellStart"/>
      <w:r>
        <w:t>Au-Pd-ГО</w:t>
      </w:r>
      <w:r w:rsidRPr="00B41F50">
        <w:rPr>
          <w:vertAlign w:val="subscript"/>
        </w:rPr>
        <w:t>вос</w:t>
      </w:r>
      <w:proofErr w:type="spellEnd"/>
      <w:r>
        <w:t xml:space="preserve"> и ВОПГ с бинарной системой </w:t>
      </w:r>
      <w:proofErr w:type="spellStart"/>
      <w:r>
        <w:t>Au-Pd</w:t>
      </w:r>
      <w:proofErr w:type="spellEnd"/>
      <w:r>
        <w:t>.</w:t>
      </w:r>
      <w:r w:rsidRPr="00B41F50">
        <w:t xml:space="preserve"> </w:t>
      </w:r>
      <w:r>
        <w:t xml:space="preserve">На поверхности ВОПГ с композитом </w:t>
      </w:r>
      <w:proofErr w:type="spellStart"/>
      <w:r>
        <w:t>Au-Pd-ГО</w:t>
      </w:r>
      <w:r w:rsidRPr="00B41F50">
        <w:rPr>
          <w:vertAlign w:val="subscript"/>
        </w:rPr>
        <w:t>вос</w:t>
      </w:r>
      <w:proofErr w:type="spellEnd"/>
      <w:r>
        <w:t xml:space="preserve"> присутствует сетчатая структура оксида графена, на которой осаждены частицы бинарной системы.</w:t>
      </w:r>
      <w:r w:rsidRPr="00B41F50">
        <w:t xml:space="preserve"> </w:t>
      </w:r>
      <w:r>
        <w:t xml:space="preserve">На поверхности ВОПГ с бинарной </w:t>
      </w:r>
      <w:r w:rsidRPr="00B41F50">
        <w:t xml:space="preserve">системой </w:t>
      </w:r>
      <w:proofErr w:type="spellStart"/>
      <w:r w:rsidRPr="00B41F50">
        <w:t>Au-Pd</w:t>
      </w:r>
      <w:proofErr w:type="spellEnd"/>
      <w:r w:rsidRPr="00B41F50">
        <w:t xml:space="preserve"> присутствуют сферические частицы двух типов: мелкие и крупные. Средний диаметр составляет 150 </w:t>
      </w:r>
      <w:proofErr w:type="spellStart"/>
      <w:r w:rsidRPr="00B41F50">
        <w:t>нм</w:t>
      </w:r>
      <w:proofErr w:type="spellEnd"/>
      <w:r w:rsidRPr="00B41F50">
        <w:t>, разброс по высоте – 300 </w:t>
      </w:r>
      <w:proofErr w:type="spellStart"/>
      <w:r w:rsidRPr="00B41F50">
        <w:t>нм</w:t>
      </w:r>
      <w:proofErr w:type="spellEnd"/>
      <w:r w:rsidRPr="00B41F50">
        <w:t>, средняя квадратичная шероховатость – 85 </w:t>
      </w:r>
      <w:proofErr w:type="spellStart"/>
      <w:r w:rsidRPr="00B41F50">
        <w:t>нм</w:t>
      </w:r>
      <w:proofErr w:type="spellEnd"/>
      <w:r w:rsidRPr="00B41F50">
        <w:t>, что значительно</w:t>
      </w:r>
      <w:r>
        <w:t xml:space="preserve"> превышает размер частиц и степень шероховатости, полученные на ВОПГ с композитом. Методом АСМ установлено, что</w:t>
      </w:r>
      <w:r w:rsidRPr="00B41F50">
        <w:t xml:space="preserve"> </w:t>
      </w:r>
      <w:r>
        <w:t xml:space="preserve">на поверхности </w:t>
      </w:r>
      <w:proofErr w:type="spellStart"/>
      <w:r>
        <w:t>ГО</w:t>
      </w:r>
      <w:r w:rsidRPr="00B41F50">
        <w:rPr>
          <w:vertAlign w:val="subscript"/>
        </w:rPr>
        <w:t>вос</w:t>
      </w:r>
      <w:proofErr w:type="spellEnd"/>
      <w:r>
        <w:t xml:space="preserve"> образуются </w:t>
      </w:r>
      <w:proofErr w:type="spellStart"/>
      <w:r>
        <w:t>нанодисперсные</w:t>
      </w:r>
      <w:proofErr w:type="spellEnd"/>
      <w:r>
        <w:t xml:space="preserve"> осадки бинарной системы </w:t>
      </w:r>
      <w:proofErr w:type="spellStart"/>
      <w:r>
        <w:t>Au-Pd</w:t>
      </w:r>
      <w:proofErr w:type="spellEnd"/>
      <w:r>
        <w:t xml:space="preserve"> с примерно </w:t>
      </w:r>
      <w:proofErr w:type="gramStart"/>
      <w:r>
        <w:t>одинаковыми</w:t>
      </w:r>
      <w:proofErr w:type="gramEnd"/>
      <w:r>
        <w:t xml:space="preserve"> по диаметру и высоте </w:t>
      </w:r>
      <w:proofErr w:type="spellStart"/>
      <w:r>
        <w:t>наночастицами</w:t>
      </w:r>
      <w:proofErr w:type="spellEnd"/>
      <w:r>
        <w:t>.</w:t>
      </w:r>
    </w:p>
    <w:p w14:paraId="6C30AA6D" w14:textId="7C1978D4" w:rsidR="00D01AD3" w:rsidRDefault="00D01AD3" w:rsidP="00877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При окислении тетрациклина на электроде </w:t>
      </w:r>
      <w:proofErr w:type="spellStart"/>
      <w:r>
        <w:rPr>
          <w:lang w:val="en-US"/>
        </w:rPr>
        <w:t>Pd</w:t>
      </w:r>
      <w:proofErr w:type="spellEnd"/>
      <w:r>
        <w:rPr>
          <w:color w:val="000000"/>
          <w:kern w:val="24"/>
        </w:rPr>
        <w:t>-</w:t>
      </w:r>
      <w:r>
        <w:rPr>
          <w:color w:val="000000"/>
          <w:kern w:val="24"/>
          <w:lang w:val="en-US"/>
        </w:rPr>
        <w:t>Au</w:t>
      </w:r>
      <w:r>
        <w:rPr>
          <w:color w:val="000000"/>
          <w:kern w:val="24"/>
        </w:rPr>
        <w:t>-</w:t>
      </w:r>
      <w:proofErr w:type="spellStart"/>
      <w:r>
        <w:rPr>
          <w:color w:val="000000"/>
          <w:kern w:val="24"/>
        </w:rPr>
        <w:t>ГО</w:t>
      </w:r>
      <w:r>
        <w:rPr>
          <w:color w:val="000000"/>
          <w:kern w:val="24"/>
          <w:vertAlign w:val="subscript"/>
        </w:rPr>
        <w:t>вос</w:t>
      </w:r>
      <w:proofErr w:type="spellEnd"/>
      <w:r>
        <w:rPr>
          <w:color w:val="000000"/>
          <w:kern w:val="24"/>
        </w:rPr>
        <w:t>-СУ</w:t>
      </w:r>
      <w:r>
        <w:t xml:space="preserve"> на фоне 0.1 М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 xml:space="preserve">4 </w:t>
      </w:r>
      <w:r>
        <w:t xml:space="preserve">регистрируется </w:t>
      </w:r>
      <w:r w:rsidR="007B4731">
        <w:t xml:space="preserve">каталитический эффект </w:t>
      </w:r>
      <w:r>
        <w:t xml:space="preserve">при </w:t>
      </w:r>
      <w:r w:rsidR="007B4731">
        <w:t xml:space="preserve">потенциале </w:t>
      </w:r>
      <w:r w:rsidR="007B4731" w:rsidRPr="007B4731">
        <w:t>(</w:t>
      </w:r>
      <w:r>
        <w:rPr>
          <w:i/>
        </w:rPr>
        <w:t>Е</w:t>
      </w:r>
      <w:r w:rsidR="007B4731" w:rsidRPr="007B4731">
        <w:t xml:space="preserve">), равном </w:t>
      </w:r>
      <w:r>
        <w:t>1.0</w:t>
      </w:r>
      <w:r w:rsidR="007B4731">
        <w:t xml:space="preserve"> В</w:t>
      </w:r>
      <w:r>
        <w:t xml:space="preserve">. Регистрация электрокаталитического эффекта при </w:t>
      </w:r>
      <w:r>
        <w:rPr>
          <w:i/>
        </w:rPr>
        <w:t>Е</w:t>
      </w:r>
      <w:r>
        <w:t>=+1.0В, указывает</w:t>
      </w:r>
      <w:r w:rsidR="007B4731">
        <w:t xml:space="preserve">, что качестве каталитически активной частицы </w:t>
      </w:r>
      <w:r>
        <w:t xml:space="preserve"> в электрохимическом процессе </w:t>
      </w:r>
      <w:r w:rsidR="007B4731">
        <w:t>участвуют частицы</w:t>
      </w:r>
      <w:r>
        <w:t xml:space="preserve"> золота (</w:t>
      </w:r>
      <w:r>
        <w:rPr>
          <w:lang w:val="en-US"/>
        </w:rPr>
        <w:t>III</w:t>
      </w:r>
      <w:r>
        <w:t>).</w:t>
      </w:r>
      <w:r w:rsidR="0087774E">
        <w:t xml:space="preserve"> </w:t>
      </w:r>
      <w:r>
        <w:t>Многократное увеличение электрокаталитического эффекта, по сравнению с каталитическими эффектами на</w:t>
      </w:r>
      <w:r w:rsidR="0087774E">
        <w:t xml:space="preserve"> электроде из СУ</w:t>
      </w:r>
      <w:r>
        <w:t xml:space="preserve"> с осадком золота или </w:t>
      </w:r>
      <w:proofErr w:type="spellStart"/>
      <w:r w:rsidR="0087774E">
        <w:t>Au-Pd</w:t>
      </w:r>
      <w:proofErr w:type="spellEnd"/>
      <w:r w:rsidR="0087774E">
        <w:t xml:space="preserve">, без </w:t>
      </w:r>
      <w:proofErr w:type="spellStart"/>
      <w:r w:rsidR="0087774E">
        <w:t>ГО</w:t>
      </w:r>
      <w:r w:rsidR="0087774E" w:rsidRPr="00B41F50">
        <w:rPr>
          <w:vertAlign w:val="subscript"/>
        </w:rPr>
        <w:t>вос</w:t>
      </w:r>
      <w:proofErr w:type="spellEnd"/>
      <w:r w:rsidR="0087774E">
        <w:t>. Полученные результаты</w:t>
      </w:r>
      <w:r>
        <w:t xml:space="preserve"> можно объяснить формированием </w:t>
      </w:r>
      <w:proofErr w:type="spellStart"/>
      <w:r>
        <w:t>нанодисперсных</w:t>
      </w:r>
      <w:proofErr w:type="spellEnd"/>
      <w:r>
        <w:t xml:space="preserve"> частиц </w:t>
      </w:r>
      <w:proofErr w:type="spellStart"/>
      <w:r w:rsidR="0087774E">
        <w:t>Au-Pd</w:t>
      </w:r>
      <w:proofErr w:type="spellEnd"/>
      <w:r>
        <w:t xml:space="preserve"> на СУ с восстановленным оксидом графена, </w:t>
      </w:r>
      <w:r w:rsidR="0087774E">
        <w:t>что установлено</w:t>
      </w:r>
      <w:r>
        <w:t xml:space="preserve"> методом АСМ. </w:t>
      </w:r>
    </w:p>
    <w:p w14:paraId="0878B15E" w14:textId="44B0F285" w:rsidR="00D01AD3" w:rsidRPr="00D01AD3" w:rsidRDefault="00D01AD3" w:rsidP="00D01AD3">
      <w:pPr>
        <w:ind w:firstLine="426"/>
        <w:jc w:val="both"/>
      </w:pPr>
      <w:r w:rsidRPr="00D01AD3">
        <w:t xml:space="preserve">Разработан способ вольтамперометрического определения тетрациклина на электроде </w:t>
      </w:r>
      <w:proofErr w:type="spellStart"/>
      <w:r w:rsidRPr="00D01AD3">
        <w:t>Pd</w:t>
      </w:r>
      <w:proofErr w:type="spellEnd"/>
      <w:r w:rsidRPr="00D01AD3">
        <w:t>-</w:t>
      </w:r>
      <w:proofErr w:type="spellStart"/>
      <w:r w:rsidRPr="00D01AD3">
        <w:t>Au</w:t>
      </w:r>
      <w:proofErr w:type="spellEnd"/>
      <w:r w:rsidRPr="00D01AD3">
        <w:t>-</w:t>
      </w:r>
      <w:proofErr w:type="spellStart"/>
      <w:r w:rsidRPr="00D01AD3">
        <w:t>ГО</w:t>
      </w:r>
      <w:r w:rsidRPr="00D01AD3">
        <w:rPr>
          <w:vertAlign w:val="subscript"/>
        </w:rPr>
        <w:t>вос</w:t>
      </w:r>
      <w:proofErr w:type="spellEnd"/>
      <w:r w:rsidRPr="00D01AD3">
        <w:t>-СУ. Нижняя граница определяемых содержаний антибиотика составляет 50нМ. Показана возможность использования разработанных композитных электродов для определения тетрациклина в условиях проточно-инжекционного анализа</w:t>
      </w:r>
      <w:r w:rsidR="0087774E">
        <w:t xml:space="preserve"> (ПИА)</w:t>
      </w:r>
      <w:r w:rsidRPr="00D01AD3">
        <w:t>. Определены условия амперометрического детектирования тетрациклина на электрод</w:t>
      </w:r>
      <w:r>
        <w:t>е</w:t>
      </w:r>
      <w:r w:rsidRPr="00D01AD3">
        <w:t xml:space="preserve"> </w:t>
      </w:r>
      <w:proofErr w:type="spellStart"/>
      <w:r w:rsidRPr="00D01AD3">
        <w:rPr>
          <w:color w:val="000000"/>
          <w:kern w:val="24"/>
          <w:lang w:val="en-US"/>
        </w:rPr>
        <w:t>Pd</w:t>
      </w:r>
      <w:proofErr w:type="spellEnd"/>
      <w:r w:rsidRPr="00D01AD3">
        <w:rPr>
          <w:color w:val="000000"/>
          <w:kern w:val="24"/>
        </w:rPr>
        <w:t>-</w:t>
      </w:r>
      <w:r w:rsidRPr="00D01AD3">
        <w:rPr>
          <w:color w:val="000000"/>
          <w:kern w:val="24"/>
          <w:lang w:val="en-US"/>
        </w:rPr>
        <w:t>Au</w:t>
      </w:r>
      <w:r w:rsidRPr="00D01AD3">
        <w:rPr>
          <w:color w:val="000000"/>
          <w:kern w:val="24"/>
        </w:rPr>
        <w:t>-ГО</w:t>
      </w:r>
      <w:proofErr w:type="spellStart"/>
      <w:r>
        <w:rPr>
          <w:color w:val="000000"/>
          <w:kern w:val="24"/>
          <w:position w:val="-7"/>
          <w:vertAlign w:val="subscript"/>
        </w:rPr>
        <w:t>вос</w:t>
      </w:r>
      <w:proofErr w:type="spellEnd"/>
      <w:r>
        <w:rPr>
          <w:color w:val="000000"/>
          <w:kern w:val="24"/>
        </w:rPr>
        <w:t>-СУ</w:t>
      </w:r>
      <w:r w:rsidRPr="00D01AD3">
        <w:t xml:space="preserve">. Предложенный способ </w:t>
      </w:r>
      <w:r w:rsidR="0087774E">
        <w:t>ПИА</w:t>
      </w:r>
      <w:r w:rsidRPr="00D01AD3">
        <w:t xml:space="preserve"> отличается высокой чувствительностью до 5 </w:t>
      </w:r>
      <w:proofErr w:type="spellStart"/>
      <w:r w:rsidRPr="00D01AD3">
        <w:t>нМ</w:t>
      </w:r>
      <w:proofErr w:type="spellEnd"/>
      <w:r w:rsidRPr="00D01AD3">
        <w:t xml:space="preserve"> степенью автоматизации, а также высокой воспроизводимостью, экспрессностью и производительностью по сравнению со стационарными условиями.</w:t>
      </w:r>
      <w:r w:rsidRPr="00D01AD3">
        <w:rPr>
          <w:iCs/>
          <w:sz w:val="26"/>
          <w:szCs w:val="26"/>
        </w:rPr>
        <w:t xml:space="preserve"> </w:t>
      </w:r>
      <w:r w:rsidRPr="00D01AD3">
        <w:t>Разработанный амперометрический способ детектирования тетрациклина был апробирован в образцах цветочного мёда (разных районов Поволжья).</w:t>
      </w:r>
    </w:p>
    <w:sectPr w:rsidR="00D01AD3" w:rsidRPr="00D01A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56A3"/>
    <w:multiLevelType w:val="hybridMultilevel"/>
    <w:tmpl w:val="0242E9DA"/>
    <w:lvl w:ilvl="0" w:tplc="EDD25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C65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809F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D2D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46E8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A8BB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BACCE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2412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B8FF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1F4F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E0B3D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B4731"/>
    <w:rsid w:val="007C36D8"/>
    <w:rsid w:val="007F2744"/>
    <w:rsid w:val="0087774E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F0CBC"/>
    <w:rsid w:val="00B41F50"/>
    <w:rsid w:val="00BF36F8"/>
    <w:rsid w:val="00BF4622"/>
    <w:rsid w:val="00C91615"/>
    <w:rsid w:val="00CD00B1"/>
    <w:rsid w:val="00D01AD3"/>
    <w:rsid w:val="00D22306"/>
    <w:rsid w:val="00D42542"/>
    <w:rsid w:val="00D8121C"/>
    <w:rsid w:val="00E22189"/>
    <w:rsid w:val="00E74069"/>
    <w:rsid w:val="00EB1F49"/>
    <w:rsid w:val="00F52C9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916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6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916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6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8C7840-FC2B-4B97-92D6-73B548E2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Поздняк</dc:creator>
  <cp:lastModifiedBy>Анна Поздняк</cp:lastModifiedBy>
  <cp:revision>4</cp:revision>
  <dcterms:created xsi:type="dcterms:W3CDTF">2024-02-28T11:09:00Z</dcterms:created>
  <dcterms:modified xsi:type="dcterms:W3CDTF">2024-02-29T10:20:00Z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