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4C9E" w14:textId="77777777" w:rsidR="00EE3BDD" w:rsidRDefault="00BF55C6" w:rsidP="006C6E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0B5">
        <w:rPr>
          <w:rFonts w:ascii="Times New Roman" w:hAnsi="Times New Roman" w:cs="Times New Roman"/>
          <w:b/>
          <w:sz w:val="24"/>
          <w:szCs w:val="24"/>
        </w:rPr>
        <w:t>Исследование механизмов начальной стадии спекания смеси нанопорошков метастабильного оксида алюминия и стабилизированного диоксида циркония</w:t>
      </w:r>
    </w:p>
    <w:p w14:paraId="59BEDE35" w14:textId="77777777" w:rsidR="00BF55C6" w:rsidRPr="00EE3BDD" w:rsidRDefault="00BF55C6" w:rsidP="006C6E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EE3BDD">
        <w:rPr>
          <w:rFonts w:ascii="Times New Roman" w:hAnsi="Times New Roman" w:cs="Times New Roman"/>
          <w:b/>
          <w:i/>
          <w:sz w:val="24"/>
          <w:szCs w:val="24"/>
        </w:rPr>
        <w:t>Малецкий А.В.</w:t>
      </w:r>
      <w:r w:rsidR="00E260B5" w:rsidRPr="00EE3BD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1,2</w:t>
      </w:r>
      <w:r w:rsidRPr="00EE3BD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EE3BDD">
        <w:rPr>
          <w:rFonts w:ascii="Times New Roman" w:hAnsi="Times New Roman" w:cs="Times New Roman"/>
          <w:b/>
          <w:i/>
          <w:sz w:val="24"/>
          <w:szCs w:val="24"/>
        </w:rPr>
        <w:t>Беличко</w:t>
      </w:r>
      <w:proofErr w:type="spellEnd"/>
      <w:r w:rsidRPr="00EE3BDD">
        <w:rPr>
          <w:rFonts w:ascii="Times New Roman" w:hAnsi="Times New Roman" w:cs="Times New Roman"/>
          <w:b/>
          <w:i/>
          <w:sz w:val="24"/>
          <w:szCs w:val="24"/>
        </w:rPr>
        <w:t xml:space="preserve"> Д.Р.</w:t>
      </w:r>
      <w:r w:rsidR="00E260B5" w:rsidRPr="00EE3BD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EE3BDD">
        <w:rPr>
          <w:rFonts w:ascii="Times New Roman" w:hAnsi="Times New Roman" w:cs="Times New Roman"/>
          <w:b/>
          <w:i/>
          <w:sz w:val="24"/>
          <w:szCs w:val="24"/>
        </w:rPr>
        <w:t>, Диденко Е.А.</w:t>
      </w:r>
      <w:r w:rsidR="00E260B5" w:rsidRPr="00EE3BD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2,3</w:t>
      </w:r>
    </w:p>
    <w:p w14:paraId="0A5F8AF2" w14:textId="77777777" w:rsidR="00E260B5" w:rsidRPr="00671BFE" w:rsidRDefault="00E260B5" w:rsidP="006C6E5D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260B5">
        <w:rPr>
          <w:rFonts w:ascii="Times New Roman" w:hAnsi="Times New Roman" w:cs="Times New Roman"/>
          <w:i/>
          <w:sz w:val="24"/>
          <w:szCs w:val="24"/>
        </w:rPr>
        <w:t>Аспирант</w:t>
      </w:r>
      <w:r w:rsidR="00671BFE" w:rsidRPr="00CA10CB">
        <w:rPr>
          <w:rFonts w:ascii="Times New Roman" w:hAnsi="Times New Roman" w:cs="Times New Roman"/>
          <w:i/>
          <w:sz w:val="24"/>
          <w:szCs w:val="24"/>
        </w:rPr>
        <w:t>,</w:t>
      </w:r>
      <w:r w:rsidR="00671BFE">
        <w:rPr>
          <w:rFonts w:ascii="Times New Roman" w:hAnsi="Times New Roman" w:cs="Times New Roman"/>
          <w:i/>
          <w:sz w:val="24"/>
          <w:szCs w:val="24"/>
        </w:rPr>
        <w:t xml:space="preserve"> 2 год</w:t>
      </w:r>
      <w:r w:rsidRPr="00E260B5">
        <w:rPr>
          <w:rFonts w:ascii="Times New Roman" w:hAnsi="Times New Roman" w:cs="Times New Roman"/>
          <w:i/>
          <w:sz w:val="24"/>
          <w:szCs w:val="24"/>
        </w:rPr>
        <w:t xml:space="preserve"> обучения</w:t>
      </w:r>
    </w:p>
    <w:p w14:paraId="0E622AC7" w14:textId="77777777" w:rsidR="00E260B5" w:rsidRPr="008F077A" w:rsidRDefault="00E260B5" w:rsidP="008B02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F077A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1</w:t>
      </w:r>
      <w:r w:rsidRPr="008F07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Физико-технический институт им. А.А. Галкина, ул. Розы Люксембург, 83114 Донецк, Россия;</w:t>
      </w:r>
    </w:p>
    <w:p w14:paraId="670FC4FF" w14:textId="77777777" w:rsidR="00E260B5" w:rsidRPr="008F077A" w:rsidRDefault="00E260B5" w:rsidP="008B02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F077A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Pr="008F07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Объединенный институт </w:t>
      </w:r>
      <w:r w:rsidR="00CA10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ядерных исследований, ул. Жолио-</w:t>
      </w:r>
      <w:r w:rsidRPr="008F07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Кюри 6, 141980 Дубна, Россия;</w:t>
      </w:r>
    </w:p>
    <w:p w14:paraId="63054706" w14:textId="77777777" w:rsidR="00E260B5" w:rsidRPr="008F077A" w:rsidRDefault="00E260B5" w:rsidP="00EE3BDD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</w:pPr>
      <w:r w:rsidRPr="00CA10CB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3</w:t>
      </w:r>
      <w:r w:rsidR="00CA10CB" w:rsidRPr="00CA10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Государственный университет "Дубна",</w:t>
      </w:r>
      <w:r w:rsidR="008B02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ул.</w:t>
      </w:r>
      <w:r w:rsidR="008B029B" w:rsidRPr="008B02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A10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Университетская 19, </w:t>
      </w:r>
      <w:r w:rsidR="00CA10CB" w:rsidRPr="00CA10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141982, </w:t>
      </w:r>
      <w:r w:rsidR="00CA10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Дубна, </w:t>
      </w:r>
      <w:r w:rsidR="00CA10CB" w:rsidRPr="00CA10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Россия</w:t>
      </w:r>
      <w:r w:rsidR="00CA10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5C828998" w14:textId="77777777" w:rsidR="00E260B5" w:rsidRPr="00EE3BDD" w:rsidRDefault="00E260B5" w:rsidP="00AD7B4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EE3BD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E-mail: </w:t>
      </w:r>
      <w:hyperlink r:id="rId5" w:history="1">
        <w:r w:rsidRPr="00EE3BDD">
          <w:rPr>
            <w:rStyle w:val="a3"/>
            <w:rFonts w:ascii="Times New Roman" w:hAnsi="Times New Roman" w:cs="Times New Roman"/>
            <w:i/>
            <w:color w:val="000000"/>
            <w:sz w:val="24"/>
            <w:szCs w:val="24"/>
            <w:lang w:val="en-US"/>
          </w:rPr>
          <w:t>sashamalecki</w:t>
        </w:r>
        <w:r w:rsidRPr="00EE3BDD">
          <w:rPr>
            <w:rStyle w:val="a3"/>
            <w:rFonts w:ascii="Times New Roman" w:hAnsi="Times New Roman" w:cs="Times New Roman"/>
            <w:i/>
            <w:color w:val="000000"/>
            <w:sz w:val="24"/>
            <w:szCs w:val="24"/>
          </w:rPr>
          <w:t>097@</w:t>
        </w:r>
        <w:r w:rsidRPr="00EE3BDD">
          <w:rPr>
            <w:rStyle w:val="a3"/>
            <w:rFonts w:ascii="Times New Roman" w:hAnsi="Times New Roman" w:cs="Times New Roman"/>
            <w:i/>
            <w:color w:val="000000"/>
            <w:sz w:val="24"/>
            <w:szCs w:val="24"/>
            <w:lang w:val="en-US"/>
          </w:rPr>
          <w:t>gmail</w:t>
        </w:r>
        <w:r w:rsidRPr="00EE3BDD">
          <w:rPr>
            <w:rStyle w:val="a3"/>
            <w:rFonts w:ascii="Times New Roman" w:hAnsi="Times New Roman" w:cs="Times New Roman"/>
            <w:i/>
            <w:color w:val="000000"/>
            <w:sz w:val="24"/>
            <w:szCs w:val="24"/>
          </w:rPr>
          <w:t>.</w:t>
        </w:r>
        <w:r w:rsidRPr="00EE3BDD">
          <w:rPr>
            <w:rStyle w:val="a3"/>
            <w:rFonts w:ascii="Times New Roman" w:hAnsi="Times New Roman" w:cs="Times New Roman"/>
            <w:i/>
            <w:color w:val="000000"/>
            <w:sz w:val="24"/>
            <w:szCs w:val="24"/>
            <w:lang w:val="en-US"/>
          </w:rPr>
          <w:t>com</w:t>
        </w:r>
      </w:hyperlink>
    </w:p>
    <w:p w14:paraId="186E5814" w14:textId="77777777" w:rsidR="00EE3BDD" w:rsidRDefault="00BF55C6" w:rsidP="00BF55C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37C">
        <w:rPr>
          <w:rFonts w:ascii="Times New Roman" w:hAnsi="Times New Roman" w:cs="Times New Roman"/>
          <w:sz w:val="24"/>
          <w:szCs w:val="24"/>
        </w:rPr>
        <w:t>В работе приведен анализ влияния обработки порошков высоким гидростатическим давлением (</w:t>
      </w:r>
      <w:r w:rsidR="006C6E5D">
        <w:rPr>
          <w:rFonts w:ascii="Times New Roman" w:hAnsi="Times New Roman" w:cs="Times New Roman"/>
          <w:sz w:val="24"/>
          <w:szCs w:val="24"/>
        </w:rPr>
        <w:t>ВГД</w:t>
      </w:r>
      <w:r w:rsidRPr="0071137C">
        <w:rPr>
          <w:rFonts w:ascii="Times New Roman" w:hAnsi="Times New Roman" w:cs="Times New Roman"/>
          <w:sz w:val="24"/>
          <w:szCs w:val="24"/>
        </w:rPr>
        <w:t xml:space="preserve">) (300, 500, 700 </w:t>
      </w:r>
      <w:r w:rsidR="006C6E5D">
        <w:rPr>
          <w:rFonts w:ascii="Times New Roman" w:hAnsi="Times New Roman" w:cs="Times New Roman"/>
          <w:sz w:val="24"/>
          <w:szCs w:val="24"/>
        </w:rPr>
        <w:t>МПа</w:t>
      </w:r>
      <w:r w:rsidRPr="0071137C">
        <w:rPr>
          <w:rFonts w:ascii="Times New Roman" w:hAnsi="Times New Roman" w:cs="Times New Roman"/>
          <w:sz w:val="24"/>
          <w:szCs w:val="24"/>
        </w:rPr>
        <w:t>) и легирования стабилизированным диоксидом циркония (</w:t>
      </w:r>
      <w:proofErr w:type="spellStart"/>
      <w:r w:rsidRPr="0071137C">
        <w:rPr>
          <w:rFonts w:ascii="Times New Roman" w:hAnsi="Times New Roman" w:cs="Times New Roman"/>
          <w:sz w:val="24"/>
          <w:szCs w:val="24"/>
          <w:lang w:val="en-US"/>
        </w:rPr>
        <w:t>ZrO</w:t>
      </w:r>
      <w:proofErr w:type="spellEnd"/>
      <w:r w:rsidRPr="007113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137C">
        <w:rPr>
          <w:rFonts w:ascii="Times New Roman" w:hAnsi="Times New Roman" w:cs="Times New Roman"/>
          <w:sz w:val="24"/>
          <w:szCs w:val="24"/>
        </w:rPr>
        <w:t xml:space="preserve"> + 3 </w:t>
      </w:r>
      <w:r w:rsidR="006C6E5D">
        <w:rPr>
          <w:rFonts w:ascii="Times New Roman" w:hAnsi="Times New Roman" w:cs="Times New Roman"/>
          <w:sz w:val="24"/>
          <w:szCs w:val="24"/>
        </w:rPr>
        <w:t>мол</w:t>
      </w:r>
      <w:r w:rsidRPr="0071137C">
        <w:rPr>
          <w:rFonts w:ascii="Times New Roman" w:hAnsi="Times New Roman" w:cs="Times New Roman"/>
          <w:sz w:val="24"/>
          <w:szCs w:val="24"/>
        </w:rPr>
        <w:t xml:space="preserve">.% </w:t>
      </w:r>
      <w:r w:rsidRPr="0071137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7113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137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113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1137C">
        <w:rPr>
          <w:rFonts w:ascii="Times New Roman" w:hAnsi="Times New Roman" w:cs="Times New Roman"/>
          <w:sz w:val="24"/>
          <w:szCs w:val="24"/>
        </w:rPr>
        <w:t>, (</w:t>
      </w:r>
      <w:r w:rsidRPr="0071137C">
        <w:rPr>
          <w:rFonts w:ascii="Times New Roman" w:hAnsi="Times New Roman" w:cs="Times New Roman"/>
          <w:sz w:val="24"/>
          <w:szCs w:val="24"/>
          <w:lang w:val="en-US"/>
        </w:rPr>
        <w:t>YSZ</w:t>
      </w:r>
      <w:r w:rsidRPr="0071137C">
        <w:rPr>
          <w:rFonts w:ascii="Times New Roman" w:hAnsi="Times New Roman" w:cs="Times New Roman"/>
          <w:sz w:val="24"/>
          <w:szCs w:val="24"/>
        </w:rPr>
        <w:t xml:space="preserve">)) на уплотнение смеси метастабильных нанопорошков состава </w:t>
      </w:r>
      <w:proofErr w:type="spellStart"/>
      <w:r w:rsidRPr="0071137C">
        <w:rPr>
          <w:rFonts w:ascii="Times New Roman" w:hAnsi="Times New Roman" w:cs="Times New Roman"/>
          <w:sz w:val="24"/>
          <w:szCs w:val="24"/>
        </w:rPr>
        <w:t>γ+θ</w:t>
      </w:r>
      <w:proofErr w:type="spellEnd"/>
      <w:r w:rsidRPr="0071137C">
        <w:rPr>
          <w:rFonts w:ascii="Times New Roman" w:hAnsi="Times New Roman" w:cs="Times New Roman"/>
          <w:sz w:val="24"/>
          <w:szCs w:val="24"/>
        </w:rPr>
        <w:t>-</w:t>
      </w:r>
      <w:r w:rsidRPr="0071137C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7113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137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113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1137C">
        <w:rPr>
          <w:rFonts w:ascii="Times New Roman" w:hAnsi="Times New Roman" w:cs="Times New Roman"/>
          <w:sz w:val="24"/>
          <w:szCs w:val="24"/>
        </w:rPr>
        <w:t xml:space="preserve"> + </w:t>
      </w:r>
      <w:r w:rsidRPr="007113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1137C">
        <w:rPr>
          <w:rFonts w:ascii="Times New Roman" w:hAnsi="Times New Roman" w:cs="Times New Roman"/>
          <w:sz w:val="24"/>
          <w:szCs w:val="24"/>
        </w:rPr>
        <w:t xml:space="preserve">% </w:t>
      </w:r>
      <w:r w:rsidRPr="0071137C">
        <w:rPr>
          <w:rFonts w:ascii="Times New Roman" w:hAnsi="Times New Roman" w:cs="Times New Roman"/>
          <w:sz w:val="24"/>
          <w:szCs w:val="24"/>
          <w:lang w:val="en-US"/>
        </w:rPr>
        <w:t>YSZ</w:t>
      </w:r>
      <w:r w:rsidRPr="0071137C">
        <w:rPr>
          <w:rFonts w:ascii="Times New Roman" w:hAnsi="Times New Roman" w:cs="Times New Roman"/>
          <w:sz w:val="24"/>
          <w:szCs w:val="24"/>
        </w:rPr>
        <w:t xml:space="preserve"> (</w:t>
      </w:r>
      <w:r w:rsidRPr="007113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1137C">
        <w:rPr>
          <w:rFonts w:ascii="Times New Roman" w:hAnsi="Times New Roman" w:cs="Times New Roman"/>
          <w:sz w:val="24"/>
          <w:szCs w:val="24"/>
        </w:rPr>
        <w:t xml:space="preserve"> = 0, 1, 5, 10, 15</w:t>
      </w:r>
      <w:r w:rsidR="006C6E5D">
        <w:rPr>
          <w:rFonts w:ascii="Times New Roman" w:hAnsi="Times New Roman" w:cs="Times New Roman"/>
          <w:sz w:val="24"/>
          <w:szCs w:val="24"/>
        </w:rPr>
        <w:t xml:space="preserve"> вес</w:t>
      </w:r>
      <w:r w:rsidRPr="0071137C">
        <w:rPr>
          <w:rFonts w:ascii="Times New Roman" w:hAnsi="Times New Roman" w:cs="Times New Roman"/>
          <w:sz w:val="24"/>
          <w:szCs w:val="24"/>
        </w:rPr>
        <w:t>.%) при спекании. Поведение нанопорошков на начальной стадии спекания исследовали методом дилатометрии при постоянной скорости нагрева 5 °С/</w:t>
      </w:r>
      <w:r w:rsidRPr="0071137C">
        <w:rPr>
          <w:rFonts w:ascii="Times New Roman" w:hAnsi="Times New Roman" w:cs="Times New Roman"/>
          <w:sz w:val="24"/>
          <w:szCs w:val="24"/>
          <w:lang w:val="en-US"/>
        </w:rPr>
        <w:t>min</w:t>
      </w:r>
      <w:r w:rsidRPr="0071137C">
        <w:rPr>
          <w:rFonts w:ascii="Times New Roman" w:hAnsi="Times New Roman" w:cs="Times New Roman"/>
          <w:sz w:val="24"/>
          <w:szCs w:val="24"/>
        </w:rPr>
        <w:t>, в диапазоне</w:t>
      </w:r>
      <w:r w:rsidR="000D39D8">
        <w:rPr>
          <w:rFonts w:ascii="Times New Roman" w:hAnsi="Times New Roman" w:cs="Times New Roman"/>
          <w:sz w:val="24"/>
          <w:szCs w:val="24"/>
        </w:rPr>
        <w:t xml:space="preserve"> температур от 20</w:t>
      </w:r>
      <w:r w:rsidR="000D39D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137C">
        <w:rPr>
          <w:rFonts w:ascii="Times New Roman" w:hAnsi="Times New Roman" w:cs="Times New Roman"/>
          <w:sz w:val="24"/>
          <w:szCs w:val="24"/>
        </w:rPr>
        <w:t>°С до 1500</w:t>
      </w:r>
      <w:r w:rsidR="000D39D8">
        <w:rPr>
          <w:lang w:val="en-US"/>
        </w:rPr>
        <w:t> </w:t>
      </w:r>
      <w:r w:rsidRPr="0071137C">
        <w:rPr>
          <w:rFonts w:ascii="Times New Roman" w:hAnsi="Times New Roman" w:cs="Times New Roman"/>
          <w:sz w:val="24"/>
          <w:szCs w:val="24"/>
        </w:rPr>
        <w:t>°С. Установлено, что спекание компактов указанной композитной системы проходит в две стадии: уплотнение метастабильных фаз γ+θ-</w:t>
      </w:r>
      <w:r w:rsidRPr="0071137C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7113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137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1137C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71137C">
        <w:rPr>
          <w:rFonts w:ascii="Times New Roman" w:hAnsi="Times New Roman" w:cs="Times New Roman"/>
          <w:sz w:val="24"/>
          <w:szCs w:val="24"/>
        </w:rPr>
        <w:t>(Ⅰ-ая стадия), уплотнение стабильного α-</w:t>
      </w:r>
      <w:r w:rsidRPr="0071137C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7113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137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113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1137C">
        <w:rPr>
          <w:rFonts w:ascii="Times New Roman" w:hAnsi="Times New Roman" w:cs="Times New Roman"/>
          <w:sz w:val="24"/>
          <w:szCs w:val="24"/>
        </w:rPr>
        <w:t xml:space="preserve"> (Ⅱ-ая стадия), с торможением процесса уплотнения между ними</w:t>
      </w:r>
      <w:r w:rsidR="006C6E5D" w:rsidRPr="006C6E5D">
        <w:rPr>
          <w:rFonts w:ascii="Times New Roman" w:hAnsi="Times New Roman" w:cs="Times New Roman"/>
          <w:sz w:val="24"/>
          <w:szCs w:val="24"/>
        </w:rPr>
        <w:t xml:space="preserve"> (</w:t>
      </w:r>
      <w:r w:rsidR="006C6E5D">
        <w:rPr>
          <w:rFonts w:ascii="Times New Roman" w:hAnsi="Times New Roman" w:cs="Times New Roman"/>
          <w:sz w:val="24"/>
          <w:szCs w:val="24"/>
        </w:rPr>
        <w:t>рис. 1</w:t>
      </w:r>
      <w:r w:rsidR="006C6E5D" w:rsidRPr="006C6E5D">
        <w:rPr>
          <w:rFonts w:ascii="Times New Roman" w:hAnsi="Times New Roman" w:cs="Times New Roman"/>
          <w:sz w:val="24"/>
          <w:szCs w:val="24"/>
        </w:rPr>
        <w:t>)</w:t>
      </w:r>
      <w:r w:rsidRPr="0071137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0"/>
      </w:tblGrid>
      <w:tr w:rsidR="00AD7B44" w14:paraId="2BB20161" w14:textId="77777777" w:rsidTr="00AD7B44">
        <w:tc>
          <w:tcPr>
            <w:tcW w:w="9400" w:type="dxa"/>
          </w:tcPr>
          <w:bookmarkStart w:id="0" w:name="_Hlk161913946"/>
          <w:p w14:paraId="25724446" w14:textId="2668F798" w:rsidR="00AD7B44" w:rsidRDefault="00AD7B44" w:rsidP="00AD7B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object w:dxaOrig="6020" w:dyaOrig="4609" w14:anchorId="0414A0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46.9pt;height:166.55pt" o:ole="" o:preferrelative="f">
                  <v:imagedata r:id="rId6" o:title=""/>
                  <o:lock v:ext="edit" aspectratio="f"/>
                </v:shape>
                <o:OLEObject Type="Embed" ProgID="Origin95.Graph" ShapeID="_x0000_i1036" DrawAspect="Content" ObjectID="_1772526855" r:id="rId7"/>
              </w:object>
            </w:r>
            <w:bookmarkEnd w:id="0"/>
          </w:p>
        </w:tc>
      </w:tr>
    </w:tbl>
    <w:p w14:paraId="33CAE6D9" w14:textId="77777777" w:rsidR="006C6E5D" w:rsidRPr="008B029B" w:rsidRDefault="006C6E5D" w:rsidP="00AD7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E5D">
        <w:rPr>
          <w:rFonts w:ascii="Times New Roman" w:hAnsi="Times New Roman" w:cs="Times New Roman"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C6E5D">
        <w:rPr>
          <w:rFonts w:ascii="Times New Roman" w:hAnsi="Times New Roman" w:cs="Times New Roman"/>
          <w:sz w:val="24"/>
          <w:szCs w:val="24"/>
        </w:rPr>
        <w:t xml:space="preserve">. Температурные зависимости усадки и скорости усадки образцов </w:t>
      </w:r>
      <w:r w:rsidRPr="006C6E5D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6C6E5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C6E5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C6E5D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0A06D4D9" w14:textId="77777777" w:rsidR="00BF55C6" w:rsidRDefault="00BF55C6" w:rsidP="00BF55C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1137C">
        <w:rPr>
          <w:rFonts w:ascii="Times New Roman" w:hAnsi="Times New Roman" w:cs="Times New Roman"/>
          <w:sz w:val="24"/>
          <w:szCs w:val="24"/>
        </w:rPr>
        <w:t xml:space="preserve">Методом РСА в указанных системах установлен “эффект взаимной защиты от кристаллизации” порошковых смесей, который характерен для систем, полученных методом совместного осаждения. Обнаружена связь торможения процесса уплотнения между Ⅰ-ой и Ⅱ-ой стадией спекания с увеличением добавки </w:t>
      </w:r>
      <w:r w:rsidRPr="0071137C">
        <w:rPr>
          <w:rFonts w:ascii="Times New Roman" w:hAnsi="Times New Roman" w:cs="Times New Roman"/>
          <w:sz w:val="24"/>
          <w:szCs w:val="24"/>
          <w:lang w:val="en-US"/>
        </w:rPr>
        <w:t>YSZ</w:t>
      </w:r>
      <w:r w:rsidRPr="0071137C">
        <w:rPr>
          <w:rFonts w:ascii="Times New Roman" w:hAnsi="Times New Roman" w:cs="Times New Roman"/>
          <w:sz w:val="24"/>
          <w:szCs w:val="24"/>
        </w:rPr>
        <w:t xml:space="preserve">, что также коррелирует с эффектом “взаимной защиты от кристаллизации” порошковых смесей </w:t>
      </w:r>
      <w:r w:rsidRPr="0071137C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7113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137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113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1137C">
        <w:rPr>
          <w:rFonts w:ascii="Times New Roman" w:hAnsi="Times New Roman" w:cs="Times New Roman"/>
          <w:sz w:val="24"/>
          <w:szCs w:val="24"/>
        </w:rPr>
        <w:t xml:space="preserve"> – </w:t>
      </w:r>
      <w:r w:rsidRPr="0071137C">
        <w:rPr>
          <w:rFonts w:ascii="Times New Roman" w:hAnsi="Times New Roman" w:cs="Times New Roman"/>
          <w:sz w:val="24"/>
          <w:szCs w:val="24"/>
          <w:lang w:val="en-US"/>
        </w:rPr>
        <w:t>YSZ</w:t>
      </w:r>
      <w:r w:rsidRPr="0071137C">
        <w:rPr>
          <w:rFonts w:ascii="Times New Roman" w:hAnsi="Times New Roman" w:cs="Times New Roman"/>
          <w:sz w:val="24"/>
          <w:szCs w:val="24"/>
        </w:rPr>
        <w:t>. Исследование механизмов и энергий активации спекания систем γ+θ-</w:t>
      </w:r>
      <w:r w:rsidRPr="0071137C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7113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137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113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1137C">
        <w:rPr>
          <w:rFonts w:ascii="Times New Roman" w:hAnsi="Times New Roman" w:cs="Times New Roman"/>
          <w:sz w:val="24"/>
          <w:szCs w:val="24"/>
        </w:rPr>
        <w:t xml:space="preserve"> + </w:t>
      </w:r>
      <w:r w:rsidRPr="007113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1137C">
        <w:rPr>
          <w:rFonts w:ascii="Times New Roman" w:hAnsi="Times New Roman" w:cs="Times New Roman"/>
          <w:sz w:val="24"/>
          <w:szCs w:val="24"/>
        </w:rPr>
        <w:t xml:space="preserve">% </w:t>
      </w:r>
      <w:r w:rsidRPr="0071137C">
        <w:rPr>
          <w:rFonts w:ascii="Times New Roman" w:hAnsi="Times New Roman" w:cs="Times New Roman"/>
          <w:sz w:val="24"/>
          <w:szCs w:val="24"/>
          <w:lang w:val="en-US"/>
        </w:rPr>
        <w:t>YSZ</w:t>
      </w:r>
      <w:r w:rsidRPr="0071137C">
        <w:rPr>
          <w:rFonts w:ascii="Times New Roman" w:hAnsi="Times New Roman" w:cs="Times New Roman"/>
          <w:sz w:val="24"/>
          <w:szCs w:val="24"/>
        </w:rPr>
        <w:t xml:space="preserve"> (</w:t>
      </w:r>
      <w:r w:rsidRPr="007113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1137C">
        <w:rPr>
          <w:rFonts w:ascii="Times New Roman" w:hAnsi="Times New Roman" w:cs="Times New Roman"/>
          <w:sz w:val="24"/>
          <w:szCs w:val="24"/>
        </w:rPr>
        <w:t xml:space="preserve"> = 0, 1, 5, 10, 15</w:t>
      </w:r>
      <w:r w:rsidR="006C6E5D">
        <w:rPr>
          <w:rFonts w:ascii="Times New Roman" w:hAnsi="Times New Roman" w:cs="Times New Roman"/>
          <w:sz w:val="24"/>
          <w:szCs w:val="24"/>
        </w:rPr>
        <w:t xml:space="preserve"> вес</w:t>
      </w:r>
      <w:r w:rsidRPr="0071137C">
        <w:rPr>
          <w:rFonts w:ascii="Times New Roman" w:hAnsi="Times New Roman" w:cs="Times New Roman"/>
          <w:sz w:val="24"/>
          <w:szCs w:val="24"/>
        </w:rPr>
        <w:t xml:space="preserve">.%) в зависимости от количества добавки </w:t>
      </w:r>
      <w:r w:rsidRPr="0071137C">
        <w:rPr>
          <w:rFonts w:ascii="Times New Roman" w:hAnsi="Times New Roman" w:cs="Times New Roman"/>
          <w:sz w:val="24"/>
          <w:szCs w:val="24"/>
          <w:lang w:val="en-US"/>
        </w:rPr>
        <w:t>YSZ</w:t>
      </w:r>
      <w:r w:rsidRPr="0071137C">
        <w:rPr>
          <w:rFonts w:ascii="Times New Roman" w:hAnsi="Times New Roman" w:cs="Times New Roman"/>
          <w:sz w:val="24"/>
          <w:szCs w:val="24"/>
        </w:rPr>
        <w:t xml:space="preserve"> и величины </w:t>
      </w:r>
      <w:r w:rsidR="006C6E5D">
        <w:rPr>
          <w:rFonts w:ascii="Times New Roman" w:hAnsi="Times New Roman" w:cs="Times New Roman"/>
          <w:sz w:val="24"/>
          <w:szCs w:val="24"/>
        </w:rPr>
        <w:t>ВГД</w:t>
      </w:r>
      <w:r w:rsidRPr="0071137C">
        <w:rPr>
          <w:rFonts w:ascii="Times New Roman" w:hAnsi="Times New Roman" w:cs="Times New Roman"/>
          <w:sz w:val="24"/>
          <w:szCs w:val="24"/>
        </w:rPr>
        <w:t xml:space="preserve"> показало, что увеличение легирующей примеси и величины давления приводит к уменьшению энергии активации начальной стадии спекания, а превалирующим механизмом спекания в указанных системах является объемная диффузия в зернах корунда. Также, в работе показано, что для систем γ+θ-</w:t>
      </w:r>
      <w:r w:rsidRPr="0071137C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7113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137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1137C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71137C">
        <w:rPr>
          <w:rFonts w:ascii="Times New Roman" w:hAnsi="Times New Roman" w:cs="Times New Roman"/>
          <w:sz w:val="24"/>
          <w:szCs w:val="24"/>
        </w:rPr>
        <w:t>+ ≥5</w:t>
      </w:r>
      <w:r w:rsidR="006C6E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6E5D">
        <w:rPr>
          <w:rFonts w:ascii="Times New Roman" w:hAnsi="Times New Roman" w:cs="Times New Roman"/>
          <w:sz w:val="24"/>
          <w:szCs w:val="24"/>
        </w:rPr>
        <w:t>вес</w:t>
      </w:r>
      <w:r w:rsidRPr="0071137C">
        <w:rPr>
          <w:rFonts w:ascii="Times New Roman" w:hAnsi="Times New Roman" w:cs="Times New Roman"/>
          <w:sz w:val="24"/>
          <w:szCs w:val="24"/>
        </w:rPr>
        <w:t>.%</w:t>
      </w:r>
      <w:proofErr w:type="gramEnd"/>
      <w:r w:rsidRPr="0071137C">
        <w:rPr>
          <w:rFonts w:ascii="Times New Roman" w:hAnsi="Times New Roman" w:cs="Times New Roman"/>
          <w:sz w:val="24"/>
          <w:szCs w:val="24"/>
        </w:rPr>
        <w:t xml:space="preserve"> </w:t>
      </w:r>
      <w:r w:rsidRPr="0071137C">
        <w:rPr>
          <w:rFonts w:ascii="Times New Roman" w:hAnsi="Times New Roman" w:cs="Times New Roman"/>
          <w:sz w:val="24"/>
          <w:szCs w:val="24"/>
          <w:lang w:val="en-US"/>
        </w:rPr>
        <w:t>YSZ</w:t>
      </w:r>
      <w:r w:rsidRPr="0071137C">
        <w:rPr>
          <w:rFonts w:ascii="Times New Roman" w:hAnsi="Times New Roman" w:cs="Times New Roman"/>
          <w:sz w:val="24"/>
          <w:szCs w:val="24"/>
        </w:rPr>
        <w:t xml:space="preserve"> оптимальным давлением </w:t>
      </w:r>
      <w:proofErr w:type="spellStart"/>
      <w:r w:rsidRPr="0071137C">
        <w:rPr>
          <w:rFonts w:ascii="Times New Roman" w:hAnsi="Times New Roman" w:cs="Times New Roman"/>
          <w:sz w:val="24"/>
          <w:szCs w:val="24"/>
        </w:rPr>
        <w:t>компактирования</w:t>
      </w:r>
      <w:proofErr w:type="spellEnd"/>
      <w:r w:rsidRPr="0071137C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71137C">
        <w:rPr>
          <w:rFonts w:ascii="Times New Roman" w:hAnsi="Times New Roman" w:cs="Times New Roman"/>
          <w:sz w:val="24"/>
          <w:szCs w:val="24"/>
          <w:lang w:val="en-US"/>
        </w:rPr>
        <w:t>HHP</w:t>
      </w:r>
      <w:r w:rsidRPr="0071137C">
        <w:rPr>
          <w:rFonts w:ascii="Times New Roman" w:hAnsi="Times New Roman" w:cs="Times New Roman"/>
          <w:sz w:val="24"/>
          <w:szCs w:val="24"/>
        </w:rPr>
        <w:t xml:space="preserve"> ≥ 500 </w:t>
      </w:r>
      <w:r w:rsidR="006C6E5D">
        <w:rPr>
          <w:rFonts w:ascii="Times New Roman" w:hAnsi="Times New Roman" w:cs="Times New Roman"/>
          <w:sz w:val="24"/>
          <w:szCs w:val="24"/>
        </w:rPr>
        <w:t>МПа</w:t>
      </w:r>
      <w:r w:rsidRPr="0071137C">
        <w:rPr>
          <w:rFonts w:ascii="Times New Roman" w:hAnsi="Times New Roman" w:cs="Times New Roman"/>
          <w:sz w:val="24"/>
          <w:szCs w:val="24"/>
        </w:rPr>
        <w:t xml:space="preserve">, которое соответствует переходу механизма спекания от </w:t>
      </w:r>
      <w:proofErr w:type="spellStart"/>
      <w:r w:rsidRPr="0071137C">
        <w:rPr>
          <w:rFonts w:ascii="Times New Roman" w:hAnsi="Times New Roman" w:cs="Times New Roman"/>
          <w:sz w:val="24"/>
          <w:szCs w:val="24"/>
        </w:rPr>
        <w:t>зернограничной</w:t>
      </w:r>
      <w:proofErr w:type="spellEnd"/>
      <w:r w:rsidRPr="0071137C">
        <w:rPr>
          <w:rFonts w:ascii="Times New Roman" w:hAnsi="Times New Roman" w:cs="Times New Roman"/>
          <w:sz w:val="24"/>
          <w:szCs w:val="24"/>
        </w:rPr>
        <w:t xml:space="preserve"> диффузии к объемной</w:t>
      </w:r>
      <w:r w:rsidR="00981555">
        <w:rPr>
          <w:rFonts w:ascii="Times New Roman" w:hAnsi="Times New Roman" w:cs="Times New Roman"/>
          <w:sz w:val="24"/>
          <w:szCs w:val="24"/>
        </w:rPr>
        <w:t xml:space="preserve"> </w:t>
      </w:r>
      <w:r w:rsidR="00981555" w:rsidRPr="00981555">
        <w:rPr>
          <w:rFonts w:ascii="Times New Roman" w:hAnsi="Times New Roman" w:cs="Times New Roman"/>
          <w:sz w:val="24"/>
          <w:szCs w:val="24"/>
        </w:rPr>
        <w:t>[1,2]</w:t>
      </w:r>
      <w:r w:rsidRPr="0071137C">
        <w:rPr>
          <w:rFonts w:ascii="Times New Roman" w:hAnsi="Times New Roman" w:cs="Times New Roman"/>
          <w:sz w:val="24"/>
          <w:szCs w:val="24"/>
        </w:rPr>
        <w:t>.</w:t>
      </w:r>
    </w:p>
    <w:p w14:paraId="43203D48" w14:textId="77777777" w:rsidR="00981555" w:rsidRDefault="00981555" w:rsidP="00981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81555">
        <w:rPr>
          <w:rFonts w:ascii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46DBD2B1" w14:textId="2533EEE8" w:rsidR="00981555" w:rsidRPr="00AD7B44" w:rsidRDefault="00EE3BDD" w:rsidP="00EE3B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981555" w:rsidRPr="00EE3BDD">
        <w:rPr>
          <w:rFonts w:ascii="Times New Roman" w:hAnsi="Times New Roman" w:cs="Times New Roman"/>
          <w:sz w:val="24"/>
          <w:szCs w:val="24"/>
          <w:lang w:val="en-US"/>
        </w:rPr>
        <w:t xml:space="preserve">D.L. Johnson, J. Appl. </w:t>
      </w:r>
      <w:r w:rsidR="00981555" w:rsidRPr="00AD7B44">
        <w:rPr>
          <w:rFonts w:ascii="Times New Roman" w:hAnsi="Times New Roman" w:cs="Times New Roman"/>
          <w:sz w:val="24"/>
          <w:szCs w:val="24"/>
          <w:lang w:val="en-US"/>
        </w:rPr>
        <w:t>Phys. 40, 192 (1969).</w:t>
      </w:r>
    </w:p>
    <w:p w14:paraId="7A2E9A7A" w14:textId="42F74B24" w:rsidR="00346725" w:rsidRPr="00AD7B44" w:rsidRDefault="00EE3BDD" w:rsidP="00EE3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981555" w:rsidRPr="00EE3BDD">
        <w:rPr>
          <w:rFonts w:ascii="Times New Roman" w:hAnsi="Times New Roman" w:cs="Times New Roman"/>
          <w:sz w:val="24"/>
          <w:szCs w:val="24"/>
          <w:lang w:val="en-US"/>
        </w:rPr>
        <w:t xml:space="preserve">K. Matsui, N. </w:t>
      </w:r>
      <w:proofErr w:type="spellStart"/>
      <w:r w:rsidR="00981555" w:rsidRPr="00EE3BDD">
        <w:rPr>
          <w:rFonts w:ascii="Times New Roman" w:hAnsi="Times New Roman" w:cs="Times New Roman"/>
          <w:sz w:val="24"/>
          <w:szCs w:val="24"/>
          <w:lang w:val="en-US"/>
        </w:rPr>
        <w:t>Ohmichi</w:t>
      </w:r>
      <w:proofErr w:type="spellEnd"/>
      <w:r w:rsidR="00981555" w:rsidRPr="00EE3BDD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="00981555" w:rsidRPr="00EE3BDD">
        <w:rPr>
          <w:rFonts w:ascii="Times New Roman" w:hAnsi="Times New Roman" w:cs="Times New Roman"/>
          <w:sz w:val="24"/>
          <w:szCs w:val="24"/>
          <w:lang w:val="en-US"/>
        </w:rPr>
        <w:t>Ohgai</w:t>
      </w:r>
      <w:proofErr w:type="spellEnd"/>
      <w:r w:rsidR="00981555" w:rsidRPr="00EE3BDD">
        <w:rPr>
          <w:rFonts w:ascii="Times New Roman" w:hAnsi="Times New Roman" w:cs="Times New Roman"/>
          <w:sz w:val="24"/>
          <w:szCs w:val="24"/>
          <w:lang w:val="en-US"/>
        </w:rPr>
        <w:t xml:space="preserve">, T. Yamakawa, J. Hojo, J. Ceram. </w:t>
      </w:r>
      <w:r w:rsidR="00981555" w:rsidRPr="00AD7B44">
        <w:rPr>
          <w:rFonts w:ascii="Times New Roman" w:hAnsi="Times New Roman" w:cs="Times New Roman"/>
          <w:sz w:val="24"/>
          <w:szCs w:val="24"/>
          <w:lang w:val="en-US"/>
        </w:rPr>
        <w:t xml:space="preserve">Soc. </w:t>
      </w:r>
      <w:proofErr w:type="spellStart"/>
      <w:r w:rsidR="00981555" w:rsidRPr="00AD7B44">
        <w:rPr>
          <w:rFonts w:ascii="Times New Roman" w:hAnsi="Times New Roman" w:cs="Times New Roman"/>
          <w:sz w:val="24"/>
          <w:szCs w:val="24"/>
          <w:lang w:val="en-US"/>
        </w:rPr>
        <w:t>Jpn</w:t>
      </w:r>
      <w:proofErr w:type="spellEnd"/>
      <w:r w:rsidR="00981555" w:rsidRPr="00AD7B44">
        <w:rPr>
          <w:rFonts w:ascii="Times New Roman" w:hAnsi="Times New Roman" w:cs="Times New Roman"/>
          <w:sz w:val="24"/>
          <w:szCs w:val="24"/>
          <w:lang w:val="en-US"/>
        </w:rPr>
        <w:t xml:space="preserve">. Supplement 112–1, PacRim5 Special Issue </w:t>
      </w:r>
      <w:r w:rsidR="00981555" w:rsidRPr="00AD7B44">
        <w:rPr>
          <w:rFonts w:ascii="Times New Roman" w:hAnsi="Times New Roman" w:cs="Times New Roman"/>
          <w:b/>
          <w:sz w:val="24"/>
          <w:szCs w:val="24"/>
          <w:lang w:val="en-US"/>
        </w:rPr>
        <w:t>112</w:t>
      </w:r>
      <w:r w:rsidR="00981555" w:rsidRPr="00AD7B44">
        <w:rPr>
          <w:rFonts w:ascii="Times New Roman" w:hAnsi="Times New Roman" w:cs="Times New Roman"/>
          <w:sz w:val="24"/>
          <w:szCs w:val="24"/>
          <w:lang w:val="en-US"/>
        </w:rPr>
        <w:t>, S343 (2004).</w:t>
      </w:r>
    </w:p>
    <w:sectPr w:rsidR="00346725" w:rsidRPr="00AD7B44" w:rsidSect="00B4662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11855"/>
    <w:multiLevelType w:val="hybridMultilevel"/>
    <w:tmpl w:val="8CBEBB60"/>
    <w:lvl w:ilvl="0" w:tplc="FB3CD7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17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5C6"/>
    <w:rsid w:val="00065DD1"/>
    <w:rsid w:val="000D39D8"/>
    <w:rsid w:val="00346725"/>
    <w:rsid w:val="00637537"/>
    <w:rsid w:val="00671BFE"/>
    <w:rsid w:val="006C6E5D"/>
    <w:rsid w:val="0071137C"/>
    <w:rsid w:val="00767BDA"/>
    <w:rsid w:val="008B029B"/>
    <w:rsid w:val="008F077A"/>
    <w:rsid w:val="00981555"/>
    <w:rsid w:val="00AD7B44"/>
    <w:rsid w:val="00B4662D"/>
    <w:rsid w:val="00BF55C6"/>
    <w:rsid w:val="00CA10CB"/>
    <w:rsid w:val="00E260B5"/>
    <w:rsid w:val="00EE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847DB"/>
  <w15:docId w15:val="{898E9B14-E799-4479-B938-F16523E7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60B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81555"/>
    <w:pPr>
      <w:ind w:left="720"/>
      <w:contextualSpacing/>
    </w:pPr>
  </w:style>
  <w:style w:type="table" w:styleId="a5">
    <w:name w:val="Table Grid"/>
    <w:basedOn w:val="a1"/>
    <w:uiPriority w:val="59"/>
    <w:rsid w:val="00AD7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sashamalecki097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Maletskyi</dc:creator>
  <cp:lastModifiedBy>Иван Chernoukhov</cp:lastModifiedBy>
  <cp:revision>5</cp:revision>
  <dcterms:created xsi:type="dcterms:W3CDTF">2024-03-21T08:45:00Z</dcterms:created>
  <dcterms:modified xsi:type="dcterms:W3CDTF">2024-03-21T08:48:00Z</dcterms:modified>
</cp:coreProperties>
</file>