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962D" w14:textId="77777777" w:rsidR="00613BBD" w:rsidRDefault="00613BBD" w:rsidP="00613BBD">
      <w:pPr>
        <w:jc w:val="center"/>
        <w:rPr>
          <w:b/>
          <w:iCs/>
        </w:rPr>
      </w:pPr>
      <w:r w:rsidRPr="00F83EDE">
        <w:rPr>
          <w:b/>
          <w:iCs/>
        </w:rPr>
        <w:t xml:space="preserve">Эпитаксиальные пленки граната </w:t>
      </w:r>
      <w:r w:rsidRPr="00F83EDE">
        <w:rPr>
          <w:b/>
          <w:iCs/>
          <w:lang w:val="en-US"/>
        </w:rPr>
        <w:t>Lu</w:t>
      </w:r>
      <w:r w:rsidRPr="00F83EDE">
        <w:rPr>
          <w:b/>
          <w:iCs/>
          <w:vertAlign w:val="subscript"/>
        </w:rPr>
        <w:t>3</w:t>
      </w:r>
      <w:r w:rsidRPr="00F83EDE">
        <w:rPr>
          <w:b/>
          <w:iCs/>
          <w:lang w:val="en-US"/>
        </w:rPr>
        <w:t>Fe</w:t>
      </w:r>
      <w:r w:rsidRPr="00F83EDE">
        <w:rPr>
          <w:b/>
          <w:iCs/>
          <w:vertAlign w:val="subscript"/>
        </w:rPr>
        <w:t>5</w:t>
      </w:r>
      <w:r w:rsidRPr="00F83EDE">
        <w:rPr>
          <w:b/>
          <w:iCs/>
          <w:lang w:val="en-US"/>
        </w:rPr>
        <w:t>O</w:t>
      </w:r>
      <w:r w:rsidRPr="00F83EDE">
        <w:rPr>
          <w:b/>
          <w:iCs/>
          <w:vertAlign w:val="subscript"/>
        </w:rPr>
        <w:t>12</w:t>
      </w:r>
      <w:r w:rsidRPr="00F83EDE">
        <w:rPr>
          <w:b/>
          <w:iCs/>
        </w:rPr>
        <w:t>: осаждение из газовой фазы, структура, ферримагнитный резонанс и спиновая накачка</w:t>
      </w:r>
    </w:p>
    <w:p w14:paraId="67965812" w14:textId="4C9CB5FE" w:rsidR="00613BBD" w:rsidRPr="000E08E0" w:rsidRDefault="00613BBD" w:rsidP="00613BBD">
      <w:pPr>
        <w:jc w:val="center"/>
        <w:rPr>
          <w:b/>
          <w:i/>
          <w:iCs/>
        </w:rPr>
      </w:pPr>
      <w:r w:rsidRPr="000E08E0">
        <w:rPr>
          <w:b/>
          <w:i/>
          <w:iCs/>
        </w:rPr>
        <w:t>Хафизов А.А</w:t>
      </w:r>
      <w:r w:rsidR="00380A79" w:rsidRPr="004677BC">
        <w:rPr>
          <w:b/>
          <w:i/>
          <w:iCs/>
        </w:rPr>
        <w:t>.</w:t>
      </w:r>
      <w:r w:rsidRPr="000E08E0">
        <w:rPr>
          <w:b/>
          <w:i/>
          <w:iCs/>
          <w:vertAlign w:val="superscript"/>
        </w:rPr>
        <w:t>1</w:t>
      </w:r>
      <w:r w:rsidRPr="000E08E0">
        <w:rPr>
          <w:b/>
          <w:i/>
          <w:iCs/>
        </w:rPr>
        <w:t>, Маркелова М.Н</w:t>
      </w:r>
      <w:r w:rsidR="00380A79" w:rsidRPr="004677BC">
        <w:rPr>
          <w:b/>
          <w:i/>
          <w:iCs/>
        </w:rPr>
        <w:t>.</w:t>
      </w:r>
      <w:r w:rsidRPr="000E08E0">
        <w:rPr>
          <w:b/>
          <w:i/>
          <w:iCs/>
          <w:vertAlign w:val="superscript"/>
        </w:rPr>
        <w:t>2</w:t>
      </w:r>
      <w:r w:rsidRPr="000E08E0">
        <w:rPr>
          <w:b/>
          <w:i/>
          <w:iCs/>
        </w:rPr>
        <w:t xml:space="preserve">, </w:t>
      </w:r>
      <w:proofErr w:type="spellStart"/>
      <w:r w:rsidRPr="000E08E0">
        <w:rPr>
          <w:b/>
          <w:i/>
          <w:iCs/>
        </w:rPr>
        <w:t>Кауль</w:t>
      </w:r>
      <w:proofErr w:type="spellEnd"/>
      <w:r w:rsidRPr="000E08E0">
        <w:rPr>
          <w:b/>
          <w:i/>
          <w:iCs/>
        </w:rPr>
        <w:t xml:space="preserve"> А.Р</w:t>
      </w:r>
      <w:r w:rsidR="00380A79" w:rsidRPr="004677BC">
        <w:rPr>
          <w:b/>
          <w:i/>
          <w:iCs/>
        </w:rPr>
        <w:t>.</w:t>
      </w:r>
      <w:r w:rsidRPr="000E08E0">
        <w:rPr>
          <w:b/>
          <w:i/>
          <w:iCs/>
          <w:vertAlign w:val="superscript"/>
        </w:rPr>
        <w:t>2</w:t>
      </w:r>
    </w:p>
    <w:p w14:paraId="3E3E045D" w14:textId="77777777" w:rsidR="00613BBD" w:rsidRPr="00E72811" w:rsidRDefault="00613BBD" w:rsidP="00613BBD">
      <w:pPr>
        <w:jc w:val="center"/>
        <w:rPr>
          <w:i/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5A0C9B5B" w14:textId="10CBD939" w:rsidR="00613BBD" w:rsidRDefault="00613BBD" w:rsidP="00613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0E08E0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09AD86AE" w14:textId="3124AE05" w:rsidR="00613BBD" w:rsidRDefault="00613BBD" w:rsidP="00613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0E08E0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61146925" w14:textId="77777777" w:rsidR="00613BBD" w:rsidRPr="00613BBD" w:rsidRDefault="00613BBD" w:rsidP="00613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  <w:lang w:val="en-US"/>
        </w:rPr>
        <w:t>a</w:t>
      </w:r>
      <w:proofErr w:type="spellStart"/>
      <w:r>
        <w:rPr>
          <w:i/>
          <w:color w:val="000000"/>
          <w:u w:val="single"/>
        </w:rPr>
        <w:t>bduvosi</w:t>
      </w:r>
      <w:r>
        <w:rPr>
          <w:i/>
          <w:color w:val="000000"/>
          <w:u w:val="single"/>
          <w:lang w:val="en-US"/>
        </w:rPr>
        <w:t>thafizov</w:t>
      </w:r>
      <w:proofErr w:type="spellEnd"/>
      <w:r w:rsidRPr="00613BBD">
        <w:rPr>
          <w:i/>
          <w:color w:val="000000"/>
          <w:u w:val="single"/>
        </w:rPr>
        <w:t>220@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613BBD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052D134F" w14:textId="77777777" w:rsidR="000E08E0" w:rsidRDefault="00613BBD" w:rsidP="000E08E0">
      <w:pPr>
        <w:ind w:firstLine="397"/>
        <w:jc w:val="both"/>
      </w:pPr>
      <w:r w:rsidRPr="00A851C0">
        <w:t>Благодаря своим уникальным магнитным свойствам, материалы со структурой феррит-гранатов, являющиеся ферримагнетиками, широко применяются в устройствах СВЧ электроники, в магнитооптических устройствах, а также в сверхбыстродействующих устройствах записи и обработки информации.</w:t>
      </w:r>
    </w:p>
    <w:p w14:paraId="4DF4EA5C" w14:textId="73197158" w:rsidR="000E08E0" w:rsidRDefault="00613BBD" w:rsidP="000E08E0">
      <w:pPr>
        <w:ind w:firstLine="397"/>
        <w:jc w:val="both"/>
        <w:rPr>
          <w:bCs/>
        </w:rPr>
      </w:pPr>
      <w:r w:rsidRPr="00A851C0">
        <w:t xml:space="preserve">В данной работе были получены тонкие пленки </w:t>
      </w:r>
      <w:r w:rsidRPr="00A851C0">
        <w:rPr>
          <w:bCs/>
          <w:lang w:val="en-US"/>
        </w:rPr>
        <w:t>Lu</w:t>
      </w:r>
      <w:r w:rsidRPr="00A851C0">
        <w:rPr>
          <w:bCs/>
          <w:vertAlign w:val="subscript"/>
        </w:rPr>
        <w:t>3</w:t>
      </w:r>
      <w:r w:rsidRPr="00A851C0">
        <w:rPr>
          <w:bCs/>
          <w:lang w:val="en-US"/>
        </w:rPr>
        <w:t>Fe</w:t>
      </w:r>
      <w:r w:rsidRPr="00A851C0">
        <w:rPr>
          <w:bCs/>
          <w:vertAlign w:val="subscript"/>
        </w:rPr>
        <w:t>5</w:t>
      </w:r>
      <w:r w:rsidRPr="00A851C0">
        <w:rPr>
          <w:bCs/>
          <w:lang w:val="en-US"/>
        </w:rPr>
        <w:t>O</w:t>
      </w:r>
      <w:r w:rsidRPr="00A851C0">
        <w:rPr>
          <w:bCs/>
          <w:vertAlign w:val="subscript"/>
        </w:rPr>
        <w:t xml:space="preserve">12 </w:t>
      </w:r>
      <w:r w:rsidRPr="00A851C0">
        <w:rPr>
          <w:bCs/>
        </w:rPr>
        <w:t>методом химического осаждения из газовой фазы с использованием металлоорганических летучих прекурсоров (</w:t>
      </w:r>
      <w:r w:rsidRPr="00A851C0">
        <w:rPr>
          <w:bCs/>
          <w:lang w:val="en-US"/>
        </w:rPr>
        <w:t>MOCVD</w:t>
      </w:r>
      <w:r w:rsidRPr="00A851C0">
        <w:rPr>
          <w:bCs/>
        </w:rPr>
        <w:t>)</w:t>
      </w:r>
      <w:r>
        <w:t>, а для исследования спиновой накачки, на плёнку Lu</w:t>
      </w:r>
      <w:r>
        <w:rPr>
          <w:vertAlign w:val="subscript"/>
        </w:rPr>
        <w:t>3</w:t>
      </w:r>
      <w:r>
        <w:t>Fe</w:t>
      </w:r>
      <w:r>
        <w:rPr>
          <w:vertAlign w:val="subscript"/>
        </w:rPr>
        <w:t>5</w:t>
      </w:r>
      <w:r>
        <w:t>O</w:t>
      </w:r>
      <w:r>
        <w:rPr>
          <w:vertAlign w:val="subscript"/>
        </w:rPr>
        <w:t>12</w:t>
      </w:r>
      <w:r>
        <w:t xml:space="preserve"> был </w:t>
      </w:r>
      <w:proofErr w:type="spellStart"/>
      <w:r>
        <w:t>напылён</w:t>
      </w:r>
      <w:proofErr w:type="spellEnd"/>
      <w:r>
        <w:t xml:space="preserve"> тонкий слой платины </w:t>
      </w:r>
      <w:r>
        <w:rPr>
          <w:lang w:val="en-US"/>
        </w:rPr>
        <w:t>Pt</w:t>
      </w:r>
      <w:r>
        <w:t xml:space="preserve">, порядка 10 нм, методом магнетронного </w:t>
      </w:r>
      <w:proofErr w:type="spellStart"/>
      <w:r>
        <w:t>распыления.</w:t>
      </w:r>
      <w:r w:rsidRPr="00A851C0">
        <w:rPr>
          <w:bCs/>
        </w:rPr>
        <w:t>были</w:t>
      </w:r>
      <w:proofErr w:type="spellEnd"/>
      <w:r w:rsidRPr="00A851C0">
        <w:rPr>
          <w:bCs/>
        </w:rPr>
        <w:t xml:space="preserve"> исследованы состав и структур</w:t>
      </w:r>
      <w:r>
        <w:rPr>
          <w:bCs/>
        </w:rPr>
        <w:t>а</w:t>
      </w:r>
      <w:r w:rsidRPr="00A851C0">
        <w:rPr>
          <w:bCs/>
        </w:rPr>
        <w:t xml:space="preserve"> полученных пленок, а также измерены спектры ферромагнитного резонанса (ФМР)</w:t>
      </w:r>
      <w:r w:rsidRPr="00462CDE">
        <w:rPr>
          <w:bCs/>
        </w:rPr>
        <w:t xml:space="preserve"> </w:t>
      </w:r>
      <w:r>
        <w:rPr>
          <w:bCs/>
        </w:rPr>
        <w:t xml:space="preserve">и спиновой накачки на гетероструктуре </w:t>
      </w:r>
      <w:r>
        <w:t>Lu</w:t>
      </w:r>
      <w:r>
        <w:rPr>
          <w:vertAlign w:val="subscript"/>
        </w:rPr>
        <w:t>3</w:t>
      </w:r>
      <w:r>
        <w:t>Fe</w:t>
      </w:r>
      <w:r>
        <w:rPr>
          <w:vertAlign w:val="subscript"/>
        </w:rPr>
        <w:t>5</w:t>
      </w:r>
      <w:r>
        <w:t>O</w:t>
      </w:r>
      <w:r>
        <w:rPr>
          <w:vertAlign w:val="subscript"/>
        </w:rPr>
        <w:t>12</w:t>
      </w:r>
      <w:r>
        <w:t>/</w:t>
      </w:r>
      <w:proofErr w:type="spellStart"/>
      <w:r>
        <w:t>Pt</w:t>
      </w:r>
      <w:proofErr w:type="spellEnd"/>
      <w:r w:rsidRPr="00A851C0">
        <w:rPr>
          <w:bCs/>
        </w:rPr>
        <w:t>.</w:t>
      </w:r>
    </w:p>
    <w:p w14:paraId="0E1D1039" w14:textId="79F983BE" w:rsidR="00613BBD" w:rsidRDefault="00613BBD" w:rsidP="000E08E0">
      <w:pPr>
        <w:ind w:firstLine="397"/>
        <w:jc w:val="both"/>
      </w:pPr>
      <w:r w:rsidRPr="00470197">
        <w:rPr>
          <w:bCs/>
        </w:rPr>
        <w:t xml:space="preserve">Для использования феррит-гранатов в приложениях СВЧ техники, необходимо провести ряд работ по улучшению характеристик материалов, таких как уровень поглощения, намагниченность и ширина резонансной линии. Отдельной частью данной работы являлось уменьшение ширины линии ФМР, как основного параметра для использования в СВЧ-технике на пленках феррит-граната лютеция. Известно, что на ширину ФМР существенно влияет дефектность пленки, поэтому были предприняты попытки её уменьшения в пленках </w:t>
      </w:r>
      <w:r w:rsidRPr="00470197">
        <w:rPr>
          <w:lang w:val="en-US"/>
        </w:rPr>
        <w:t>Lu</w:t>
      </w:r>
      <w:r w:rsidRPr="00470197">
        <w:rPr>
          <w:vertAlign w:val="subscript"/>
        </w:rPr>
        <w:t>3</w:t>
      </w:r>
      <w:r w:rsidRPr="00470197">
        <w:rPr>
          <w:lang w:val="en-US"/>
        </w:rPr>
        <w:t>Fe</w:t>
      </w:r>
      <w:r w:rsidRPr="00470197">
        <w:rPr>
          <w:vertAlign w:val="subscript"/>
        </w:rPr>
        <w:t>5</w:t>
      </w:r>
      <w:r w:rsidRPr="00470197">
        <w:rPr>
          <w:lang w:val="en-US"/>
        </w:rPr>
        <w:t>O</w:t>
      </w:r>
      <w:r w:rsidRPr="00470197">
        <w:rPr>
          <w:vertAlign w:val="subscript"/>
        </w:rPr>
        <w:t>12</w:t>
      </w:r>
      <w:r w:rsidR="00D91882">
        <w:t xml:space="preserve"> разным способом</w:t>
      </w:r>
      <w:r w:rsidR="004677BC" w:rsidRPr="004677BC">
        <w:t xml:space="preserve"> </w:t>
      </w:r>
      <w:r w:rsidR="004677BC" w:rsidRPr="00470197">
        <w:rPr>
          <w:bCs/>
        </w:rPr>
        <w:t>[1]</w:t>
      </w:r>
      <w:r w:rsidR="00D91882">
        <w:t>.</w:t>
      </w:r>
    </w:p>
    <w:p w14:paraId="0C041A1A" w14:textId="77777777" w:rsidR="00613BBD" w:rsidRDefault="00613BBD" w:rsidP="000E08E0">
      <w:pPr>
        <w:ind w:firstLine="397"/>
        <w:jc w:val="both"/>
        <w:rPr>
          <w:sz w:val="20"/>
        </w:rPr>
      </w:pPr>
      <w:r>
        <w:t>В результате воздействия линейно поляризованного СВЧ поля на ферромагнитный слой гетероструктуры Lu</w:t>
      </w:r>
      <w:r>
        <w:rPr>
          <w:vertAlign w:val="subscript"/>
        </w:rPr>
        <w:t>3</w:t>
      </w:r>
      <w:r>
        <w:t>Fe</w:t>
      </w:r>
      <w:r>
        <w:rPr>
          <w:vertAlign w:val="subscript"/>
        </w:rPr>
        <w:t>5</w:t>
      </w:r>
      <w:r>
        <w:t>O</w:t>
      </w:r>
      <w:r>
        <w:rPr>
          <w:vertAlign w:val="subscript"/>
        </w:rPr>
        <w:t>12</w:t>
      </w:r>
      <w:r>
        <w:t>/</w:t>
      </w:r>
      <w:proofErr w:type="spellStart"/>
      <w:r>
        <w:t>Pt</w:t>
      </w:r>
      <w:proofErr w:type="spellEnd"/>
      <w:r>
        <w:t>, в момент возникновения ФМР, начинает протекать спиновый ток из магнитного образца в нормальный металл. Платиновый слой гетероструктуры позволяет поляризовать спиновый ток из ферромагнитного слоя за счёт высокого спин-орбитального взаимодействия платины, таким образом конвертируя спиновый ток в зарядовый. Полученный зарядовый ток создаёт постоянное напряжение (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sp</w:t>
      </w:r>
      <w:proofErr w:type="spellEnd"/>
      <w:r>
        <w:t>) на противоположных краях платинового слоя. Данное напряжение позволяет оценить эффективность спиновой накачки.</w:t>
      </w:r>
    </w:p>
    <w:p w14:paraId="1469FE30" w14:textId="47CFB1C6" w:rsidR="00613BBD" w:rsidRDefault="00613BBD" w:rsidP="000E08E0">
      <w:pPr>
        <w:ind w:firstLine="397"/>
        <w:jc w:val="both"/>
        <w:rPr>
          <w:iCs/>
        </w:rPr>
      </w:pPr>
      <w:r w:rsidRPr="00470197">
        <w:rPr>
          <w:rFonts w:eastAsia="TimesNewRoman+1"/>
          <w:position w:val="3"/>
        </w:rPr>
        <w:t xml:space="preserve">С целью улучшении кристалличности </w:t>
      </w:r>
      <w:r>
        <w:rPr>
          <w:rFonts w:eastAsia="TimesNewRoman+1"/>
          <w:position w:val="3"/>
        </w:rPr>
        <w:t xml:space="preserve">гранатных </w:t>
      </w:r>
      <w:r w:rsidRPr="00470197">
        <w:rPr>
          <w:rFonts w:eastAsia="TimesNewRoman+1"/>
          <w:position w:val="3"/>
        </w:rPr>
        <w:t>пленок</w:t>
      </w:r>
      <w:r>
        <w:rPr>
          <w:rFonts w:eastAsia="TimesNewRoman+1"/>
          <w:position w:val="3"/>
        </w:rPr>
        <w:t xml:space="preserve"> в работе в ходе напыления пленок </w:t>
      </w:r>
      <w:r w:rsidRPr="00470197">
        <w:rPr>
          <w:rFonts w:eastAsia="TimesNewRoman+1"/>
          <w:position w:val="3"/>
        </w:rPr>
        <w:t>добавл</w:t>
      </w:r>
      <w:r>
        <w:rPr>
          <w:rFonts w:eastAsia="TimesNewRoman+1"/>
          <w:position w:val="3"/>
        </w:rPr>
        <w:t>яли</w:t>
      </w:r>
      <w:r w:rsidRPr="00470197">
        <w:rPr>
          <w:rFonts w:eastAsia="TimesNewRoman+1"/>
          <w:position w:val="3"/>
        </w:rPr>
        <w:t xml:space="preserve"> летучий флюс (</w:t>
      </w:r>
      <w:r w:rsidRPr="00470197">
        <w:rPr>
          <w:rFonts w:eastAsia="TimesNewRoman+1"/>
          <w:position w:val="3"/>
          <w:lang w:val="en-US"/>
        </w:rPr>
        <w:t>Bi</w:t>
      </w:r>
      <w:r w:rsidRPr="00470197">
        <w:rPr>
          <w:rFonts w:eastAsia="TimesNewRoman+1"/>
          <w:position w:val="3"/>
          <w:vertAlign w:val="subscript"/>
        </w:rPr>
        <w:t>2</w:t>
      </w:r>
      <w:r w:rsidRPr="00470197">
        <w:rPr>
          <w:rFonts w:eastAsia="TimesNewRoman+1"/>
          <w:position w:val="3"/>
          <w:lang w:val="en-US"/>
        </w:rPr>
        <w:t>O</w:t>
      </w:r>
      <w:r w:rsidRPr="00470197">
        <w:rPr>
          <w:rFonts w:eastAsia="TimesNewRoman+1"/>
          <w:position w:val="3"/>
          <w:vertAlign w:val="subscript"/>
        </w:rPr>
        <w:t>3</w:t>
      </w:r>
      <w:r w:rsidRPr="00470197">
        <w:rPr>
          <w:rFonts w:eastAsia="TimesNewRoman+1"/>
          <w:position w:val="3"/>
        </w:rPr>
        <w:t>)</w:t>
      </w:r>
      <w:r>
        <w:rPr>
          <w:rFonts w:eastAsia="TimesNewRoman+1"/>
          <w:position w:val="3"/>
        </w:rPr>
        <w:t xml:space="preserve">, добавленного к смеси прекурсоров (5 </w:t>
      </w:r>
      <w:proofErr w:type="gramStart"/>
      <w:r>
        <w:rPr>
          <w:rFonts w:eastAsia="TimesNewRoman+1"/>
          <w:position w:val="3"/>
        </w:rPr>
        <w:t>мол.%</w:t>
      </w:r>
      <w:proofErr w:type="gramEnd"/>
      <w:r>
        <w:rPr>
          <w:rFonts w:eastAsia="TimesNewRoman+1"/>
          <w:position w:val="3"/>
        </w:rPr>
        <w:t xml:space="preserve">). Показано, что </w:t>
      </w:r>
      <w:r w:rsidRPr="00470197">
        <w:rPr>
          <w:rFonts w:eastAsia="TimesNewRoman+1"/>
          <w:position w:val="3"/>
        </w:rPr>
        <w:t>осажденные в присутствии флюс</w:t>
      </w:r>
      <w:r>
        <w:rPr>
          <w:rFonts w:eastAsia="TimesNewRoman+1"/>
          <w:position w:val="3"/>
        </w:rPr>
        <w:t>а</w:t>
      </w:r>
      <w:r w:rsidRPr="00470197">
        <w:rPr>
          <w:rFonts w:eastAsia="TimesNewRoman+1"/>
          <w:position w:val="3"/>
        </w:rPr>
        <w:t xml:space="preserve"> пленки отличались более высоким кристаллическим совершенством</w:t>
      </w:r>
      <w:r w:rsidR="00D91882">
        <w:rPr>
          <w:rFonts w:eastAsia="TimesNewRoman+1"/>
          <w:position w:val="3"/>
        </w:rPr>
        <w:t xml:space="preserve"> и </w:t>
      </w:r>
      <w:r>
        <w:rPr>
          <w:rFonts w:eastAsia="TimesNewRoman+1"/>
          <w:position w:val="3"/>
        </w:rPr>
        <w:t>увеличением скорость роста</w:t>
      </w:r>
      <w:r w:rsidRPr="00470197">
        <w:rPr>
          <w:rFonts w:eastAsia="TimesNewRoman+1"/>
          <w:position w:val="3"/>
        </w:rPr>
        <w:t xml:space="preserve"> по сравнению </w:t>
      </w:r>
      <w:r>
        <w:rPr>
          <w:rFonts w:eastAsia="TimesNewRoman+1"/>
          <w:position w:val="3"/>
        </w:rPr>
        <w:t xml:space="preserve">с </w:t>
      </w:r>
      <w:r w:rsidRPr="00470197">
        <w:rPr>
          <w:rFonts w:eastAsia="TimesNewRoman+1"/>
          <w:position w:val="3"/>
        </w:rPr>
        <w:t>пленками, полученными в отсутствие летучего флюса.</w:t>
      </w:r>
      <w:r>
        <w:rPr>
          <w:rFonts w:eastAsia="TimesNewRoman+1"/>
          <w:position w:val="3"/>
        </w:rPr>
        <w:t xml:space="preserve"> </w:t>
      </w:r>
      <w:r w:rsidRPr="00470197">
        <w:rPr>
          <w:iCs/>
        </w:rPr>
        <w:t xml:space="preserve">По данным рентгеноспектрального микроанализа пленки </w:t>
      </w:r>
      <w:r w:rsidRPr="00470197">
        <w:rPr>
          <w:iCs/>
          <w:lang w:val="en-US"/>
        </w:rPr>
        <w:t>Lu</w:t>
      </w:r>
      <w:r w:rsidRPr="00470197">
        <w:rPr>
          <w:iCs/>
          <w:vertAlign w:val="subscript"/>
        </w:rPr>
        <w:t>3</w:t>
      </w:r>
      <w:r w:rsidRPr="00470197">
        <w:rPr>
          <w:iCs/>
          <w:lang w:val="en-US"/>
        </w:rPr>
        <w:t>Fe</w:t>
      </w:r>
      <w:r w:rsidRPr="00470197">
        <w:rPr>
          <w:iCs/>
          <w:vertAlign w:val="subscript"/>
        </w:rPr>
        <w:t>5</w:t>
      </w:r>
      <w:r w:rsidRPr="00470197">
        <w:rPr>
          <w:iCs/>
          <w:lang w:val="en-US"/>
        </w:rPr>
        <w:t>O</w:t>
      </w:r>
      <w:r w:rsidRPr="00470197">
        <w:rPr>
          <w:iCs/>
          <w:vertAlign w:val="subscript"/>
        </w:rPr>
        <w:t>12</w:t>
      </w:r>
      <w:r w:rsidRPr="00470197">
        <w:rPr>
          <w:iCs/>
        </w:rPr>
        <w:t xml:space="preserve">, осажденные в присутствии </w:t>
      </w:r>
      <w:r w:rsidRPr="00470197">
        <w:rPr>
          <w:rFonts w:eastAsia="TimesNewRoman+1"/>
          <w:position w:val="3"/>
          <w:lang w:val="en-US"/>
        </w:rPr>
        <w:t>Bi</w:t>
      </w:r>
      <w:r w:rsidRPr="00470197">
        <w:rPr>
          <w:rFonts w:eastAsia="TimesNewRoman+1"/>
          <w:position w:val="3"/>
          <w:vertAlign w:val="subscript"/>
        </w:rPr>
        <w:t>2</w:t>
      </w:r>
      <w:r w:rsidRPr="00470197">
        <w:rPr>
          <w:rFonts w:eastAsia="TimesNewRoman+1"/>
          <w:position w:val="3"/>
          <w:lang w:val="en-US"/>
        </w:rPr>
        <w:t>O</w:t>
      </w:r>
      <w:r w:rsidRPr="00470197">
        <w:rPr>
          <w:rFonts w:eastAsia="TimesNewRoman+1"/>
          <w:position w:val="3"/>
          <w:vertAlign w:val="subscript"/>
        </w:rPr>
        <w:t>3</w:t>
      </w:r>
      <w:r w:rsidRPr="00470197">
        <w:rPr>
          <w:rFonts w:eastAsia="TimesNewRoman+1"/>
          <w:position w:val="3"/>
        </w:rPr>
        <w:t>, не содержали висмут.</w:t>
      </w:r>
    </w:p>
    <w:p w14:paraId="2E790AC2" w14:textId="77777777" w:rsidR="00613BBD" w:rsidRPr="00462CDE" w:rsidRDefault="00613BBD" w:rsidP="000E08E0">
      <w:pPr>
        <w:pStyle w:val="aa"/>
        <w:ind w:firstLine="397"/>
        <w:rPr>
          <w:i w:val="0"/>
          <w:sz w:val="24"/>
        </w:rPr>
      </w:pPr>
      <w:r w:rsidRPr="00462CDE">
        <w:rPr>
          <w:i w:val="0"/>
          <w:sz w:val="24"/>
        </w:rPr>
        <w:t xml:space="preserve">Дальнейшие улучшения технологии изготовления плёнок </w:t>
      </w:r>
      <w:proofErr w:type="spellStart"/>
      <w:r w:rsidRPr="00462CDE">
        <w:rPr>
          <w:i w:val="0"/>
          <w:sz w:val="24"/>
        </w:rPr>
        <w:t>лютециевого</w:t>
      </w:r>
      <w:proofErr w:type="spellEnd"/>
      <w:r w:rsidRPr="00462CDE">
        <w:rPr>
          <w:i w:val="0"/>
          <w:sz w:val="24"/>
        </w:rPr>
        <w:t xml:space="preserve"> граната, такие как</w:t>
      </w:r>
      <w:r>
        <w:rPr>
          <w:i w:val="0"/>
          <w:sz w:val="24"/>
        </w:rPr>
        <w:t xml:space="preserve"> улучшении кристалличности, </w:t>
      </w:r>
      <w:r w:rsidRPr="00462CDE">
        <w:rPr>
          <w:i w:val="0"/>
          <w:sz w:val="24"/>
        </w:rPr>
        <w:t xml:space="preserve">подбор оптимальных параметров химического </w:t>
      </w:r>
      <w:proofErr w:type="spellStart"/>
      <w:proofErr w:type="gramStart"/>
      <w:r w:rsidRPr="00462CDE">
        <w:rPr>
          <w:i w:val="0"/>
          <w:sz w:val="24"/>
        </w:rPr>
        <w:t>осаждения,подбор</w:t>
      </w:r>
      <w:proofErr w:type="spellEnd"/>
      <w:proofErr w:type="gramEnd"/>
      <w:r w:rsidRPr="00462CDE">
        <w:rPr>
          <w:i w:val="0"/>
          <w:sz w:val="24"/>
        </w:rPr>
        <w:t xml:space="preserve"> подложек близкого параметра решетки и меньшей содержании галлия способствуют созданию образцов с узкой шириной линии ФМР и более интенсивным откликом спиновой накачки исследуемой гетероструктуры. Данные улучшения помогут повысить чувствительность, что позволит использовать на практике Lu</w:t>
      </w:r>
      <w:r w:rsidRPr="00462CDE">
        <w:rPr>
          <w:i w:val="0"/>
          <w:sz w:val="24"/>
          <w:vertAlign w:val="subscript"/>
        </w:rPr>
        <w:t>3</w:t>
      </w:r>
      <w:r w:rsidRPr="00462CDE">
        <w:rPr>
          <w:i w:val="0"/>
          <w:sz w:val="24"/>
        </w:rPr>
        <w:t>Fe</w:t>
      </w:r>
      <w:r w:rsidRPr="00462CDE">
        <w:rPr>
          <w:i w:val="0"/>
          <w:sz w:val="24"/>
          <w:vertAlign w:val="subscript"/>
        </w:rPr>
        <w:t>5</w:t>
      </w:r>
      <w:r w:rsidRPr="00462CDE">
        <w:rPr>
          <w:i w:val="0"/>
          <w:sz w:val="24"/>
        </w:rPr>
        <w:t>O</w:t>
      </w:r>
      <w:r w:rsidRPr="00462CDE">
        <w:rPr>
          <w:i w:val="0"/>
          <w:sz w:val="24"/>
          <w:vertAlign w:val="subscript"/>
        </w:rPr>
        <w:t>12</w:t>
      </w:r>
      <w:r w:rsidRPr="00462CDE">
        <w:rPr>
          <w:i w:val="0"/>
          <w:sz w:val="24"/>
        </w:rPr>
        <w:t>/</w:t>
      </w:r>
      <w:proofErr w:type="spellStart"/>
      <w:r w:rsidRPr="00462CDE">
        <w:rPr>
          <w:i w:val="0"/>
          <w:sz w:val="24"/>
        </w:rPr>
        <w:t>Pt</w:t>
      </w:r>
      <w:proofErr w:type="spellEnd"/>
      <w:r w:rsidRPr="00462CDE">
        <w:rPr>
          <w:i w:val="0"/>
          <w:sz w:val="24"/>
        </w:rPr>
        <w:t xml:space="preserve"> в качестве чувствительного элемента для микроволновых детекторов с возможностью селективной перестройки частоты при помощи постоянного магнитного поля.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23F0AD8" w:rsidR="00116478" w:rsidRDefault="00613BBD" w:rsidP="000E08E0">
      <w:pPr>
        <w:jc w:val="both"/>
        <w:rPr>
          <w:color w:val="000000"/>
        </w:rPr>
      </w:pPr>
      <w:r w:rsidRPr="000E08E0">
        <w:rPr>
          <w:color w:val="000000"/>
        </w:rPr>
        <w:t>1</w:t>
      </w:r>
      <w:r w:rsidR="000E08E0">
        <w:rPr>
          <w:color w:val="000000"/>
        </w:rPr>
        <w:t>.</w:t>
      </w:r>
      <w:r w:rsidRPr="000E08E0">
        <w:rPr>
          <w:color w:val="000000"/>
        </w:rPr>
        <w:t xml:space="preserve"> Ферромагнитный резонанс и поведение ферромагнетиков в переменных магнитных полях. Сб., пер. с англ., М., 1952; Ферромагнитный резонанс, М., 1961.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+1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973909">
    <w:abstractNumId w:val="0"/>
  </w:num>
  <w:num w:numId="2" w16cid:durableId="151029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316F"/>
    <w:rsid w:val="000E08E0"/>
    <w:rsid w:val="00101A1C"/>
    <w:rsid w:val="00103657"/>
    <w:rsid w:val="00106375"/>
    <w:rsid w:val="00116478"/>
    <w:rsid w:val="00130241"/>
    <w:rsid w:val="00147950"/>
    <w:rsid w:val="00147DE5"/>
    <w:rsid w:val="001E61C2"/>
    <w:rsid w:val="001F0493"/>
    <w:rsid w:val="002264EE"/>
    <w:rsid w:val="0023307C"/>
    <w:rsid w:val="0031361E"/>
    <w:rsid w:val="00380A79"/>
    <w:rsid w:val="00391C38"/>
    <w:rsid w:val="003B76D6"/>
    <w:rsid w:val="004677BC"/>
    <w:rsid w:val="004A26A3"/>
    <w:rsid w:val="004F0EDF"/>
    <w:rsid w:val="00522BF1"/>
    <w:rsid w:val="00590166"/>
    <w:rsid w:val="005D022B"/>
    <w:rsid w:val="005E5BE9"/>
    <w:rsid w:val="00613BBD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6617E"/>
    <w:rsid w:val="00BF36F8"/>
    <w:rsid w:val="00BF4622"/>
    <w:rsid w:val="00CD00B1"/>
    <w:rsid w:val="00D22306"/>
    <w:rsid w:val="00D42542"/>
    <w:rsid w:val="00D65EA8"/>
    <w:rsid w:val="00D8121C"/>
    <w:rsid w:val="00D91882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Финансирование"/>
    <w:basedOn w:val="a"/>
    <w:uiPriority w:val="99"/>
    <w:qFormat/>
    <w:rsid w:val="00613BBD"/>
    <w:pPr>
      <w:ind w:firstLine="340"/>
      <w:jc w:val="both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2B4B1-AAD6-4221-8B22-84218391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4</cp:revision>
  <dcterms:created xsi:type="dcterms:W3CDTF">2024-03-18T22:51:00Z</dcterms:created>
  <dcterms:modified xsi:type="dcterms:W3CDTF">2024-03-18T22:53:00Z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