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CD71" w14:textId="77777777" w:rsidR="000E7EAC" w:rsidRDefault="000C7169" w:rsidP="000C7169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Некоторые особенности языковых стереотипов французского языка </w:t>
      </w:r>
    </w:p>
    <w:p w14:paraId="40344171" w14:textId="77777777" w:rsidR="000C7169" w:rsidRPr="000C7169" w:rsidRDefault="000C7169" w:rsidP="000C7169">
      <w:pPr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(на материале сборника П.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Даниноса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>Le</w:t>
      </w:r>
      <w:r w:rsidRPr="000C716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>Jacassin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»)</w:t>
      </w:r>
    </w:p>
    <w:p w14:paraId="2FBF5A47" w14:textId="77777777" w:rsidR="000C7169" w:rsidRPr="000C7169" w:rsidRDefault="000C7169" w:rsidP="000C7169">
      <w:pPr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716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Дикарева Ксения Андреевна</w:t>
      </w:r>
    </w:p>
    <w:p w14:paraId="5AF7218B" w14:textId="77777777" w:rsidR="000C7169" w:rsidRPr="000C7169" w:rsidRDefault="000C7169" w:rsidP="000C7169">
      <w:pPr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аспирант</w:t>
      </w:r>
    </w:p>
    <w:p w14:paraId="55CEC3D6" w14:textId="77777777" w:rsidR="000C7169" w:rsidRPr="000C7169" w:rsidRDefault="000C7169" w:rsidP="000C7169">
      <w:pPr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Московского государственного университета имени М.В. Ломоносова,</w:t>
      </w:r>
    </w:p>
    <w:p w14:paraId="783BC99F" w14:textId="77777777" w:rsidR="000C7169" w:rsidRPr="000C7169" w:rsidRDefault="000C7169" w:rsidP="000C7169">
      <w:pPr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Москва, Россия</w:t>
      </w:r>
    </w:p>
    <w:p w14:paraId="28B2D3A5" w14:textId="77777777" w:rsidR="000C7169" w:rsidRPr="000C7169" w:rsidRDefault="000C7169" w:rsidP="000C7169">
      <w:pPr>
        <w:ind w:firstLine="70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14:paraId="6F6E3695" w14:textId="77777777" w:rsidR="000C7169" w:rsidRPr="000C7169" w:rsidRDefault="000C7169" w:rsidP="000C7169">
      <w:pPr>
        <w:ind w:firstLine="70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настоящее время в лингвистике наблюдается интерес к стереотипам — устойчивым сочетаниям, которые оказываются шире традиционно понимаемых фразеологических единиц. С другой стороны, стереотипы могут пониматься как особые ментальные структуры, которые возникают в языковом коллективе в процессе познания мира, и тогда относятся к сфере психолингвистики. Таким образом, понятие «стереотип» оказывается амбивалентным. Оба вида стереотипов объединяет стремление говорящего к экономии мыслительных усилий за счет использования готовых клишированных единиц: в первом случае экономия происходит в плане выражения, во втором — в плане содержания.</w:t>
      </w:r>
    </w:p>
    <w:p w14:paraId="7230E391" w14:textId="5FD93FE4" w:rsidR="000C7169" w:rsidRPr="000C7169" w:rsidRDefault="000C7169" w:rsidP="000C7169">
      <w:pPr>
        <w:ind w:firstLine="70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 языковым стереотипом мы понимаем схематичное стандартное выражение или высказывание, построенное на продуктивной модели, которая описывает целый ряд подобных высказываний [</w:t>
      </w:r>
      <w:proofErr w:type="spellStart"/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Confais</w:t>
      </w:r>
      <w:proofErr w:type="spellEnd"/>
      <w:r w:rsidR="00521A2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30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].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Как отмечает</w:t>
      </w:r>
      <w:r w:rsidR="000E7EA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Т.М.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Николаева</w:t>
      </w:r>
      <w:r w:rsidR="000E7EA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стереотипные высказывания чрезвычайно частотны в повседневной речи носителя языка, причем он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воспринима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ю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тся говорящим как чужая речь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Именно поэтому, как пишет исследовательница,</w:t>
      </w:r>
      <w:r w:rsidR="000E7EA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521A2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 анализе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«пласт «случайных фактов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речеупотребления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желательно минимизировать, предполагая, что зона случайного очень мала» 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[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Николаева: 114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]. </w:t>
      </w:r>
    </w:p>
    <w:p w14:paraId="5897322D" w14:textId="4A021356" w:rsidR="000C7169" w:rsidRPr="000C7169" w:rsidRDefault="000C7169" w:rsidP="000C7169">
      <w:pPr>
        <w:ind w:firstLine="70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Языковые стереотипы относятся к сфере фразеологии. Большинство фразеологических концепций говорят о том, что фразеологич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ес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кая единица характеризуется тремя свойствами: идиоматичность, устойчивость и </w:t>
      </w:r>
      <w:proofErr w:type="spellStart"/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неоднословность</w:t>
      </w:r>
      <w:proofErr w:type="spellEnd"/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[Баранов, Добровольский</w:t>
      </w:r>
      <w:r w:rsidR="00521A2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27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]. Если </w:t>
      </w:r>
      <w:proofErr w:type="spellStart"/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неоднословность</w:t>
      </w:r>
      <w:proofErr w:type="spellEnd"/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свойственна всем интересующим нас единицам, то при анализе материала стало ясно, что выраженность критериев идиоматичности и устойчивости существенно отличается у разного типа сочетаний.</w:t>
      </w:r>
    </w:p>
    <w:p w14:paraId="3B6CD5F8" w14:textId="342713FA" w:rsidR="000C7169" w:rsidRPr="000C7169" w:rsidRDefault="000C7169" w:rsidP="000C7169">
      <w:pPr>
        <w:ind w:firstLine="70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качестве материала исследования мы выбрали сборник Пьера </w:t>
      </w:r>
      <w:proofErr w:type="spellStart"/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Даниноса</w:t>
      </w:r>
      <w:proofErr w:type="spellEnd"/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«Le </w:t>
      </w:r>
      <w:proofErr w:type="spellStart"/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Jacassin</w:t>
      </w:r>
      <w:proofErr w:type="spellEnd"/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». Автор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пароди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руя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«Лексикон прописных истин» Г. Флобера, </w:t>
      </w:r>
      <w:r w:rsidR="00521A29" w:rsidRPr="00521A2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представляет своего рода пособие по искусству светского общения, юмористически обыгрывая речевые клише и стереотипные фразы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Один из разделов «</w:t>
      </w:r>
      <w:proofErr w:type="spellStart"/>
      <w:r w:rsidR="009F412E"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V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ocabulaire</w:t>
      </w:r>
      <w:proofErr w:type="spellEnd"/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général</w:t>
      </w:r>
      <w:proofErr w:type="spellEnd"/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» посвящен словам, часто употребляемым французами в повседневной жизни, он насчитывает 493 единицы. Проанализировав толкования слов, предложенные П. </w:t>
      </w:r>
      <w:proofErr w:type="spellStart"/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Даниносом</w:t>
      </w:r>
      <w:proofErr w:type="spellEnd"/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мы обнаружили различные типы языковых стереотипов.  </w:t>
      </w:r>
    </w:p>
    <w:p w14:paraId="59595AF7" w14:textId="77777777" w:rsidR="000C7169" w:rsidRPr="000C7169" w:rsidRDefault="000C7169" w:rsidP="000C7169">
      <w:pPr>
        <w:ind w:firstLine="70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Итак, в названном разделе автор часто обращается к идиомам. 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Рассмотрим одно из определений названного раздела книги: </w:t>
      </w:r>
      <w:proofErr w:type="spellStart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Bât</w:t>
      </w:r>
      <w:proofErr w:type="spellEnd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. — </w:t>
      </w:r>
      <w:proofErr w:type="spellStart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porté</w:t>
      </w:r>
      <w:proofErr w:type="spellEnd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par</w:t>
      </w:r>
      <w:proofErr w:type="spellEnd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les</w:t>
      </w:r>
      <w:proofErr w:type="spellEnd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ânes</w:t>
      </w:r>
      <w:proofErr w:type="spellEnd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, </w:t>
      </w:r>
      <w:proofErr w:type="spellStart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ne</w:t>
      </w:r>
      <w:proofErr w:type="spellEnd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blesse</w:t>
      </w:r>
      <w:proofErr w:type="spellEnd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que</w:t>
      </w:r>
      <w:proofErr w:type="spellEnd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les</w:t>
      </w:r>
      <w:proofErr w:type="spellEnd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hommes</w:t>
      </w:r>
      <w:proofErr w:type="spellEnd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. 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Здесь легко угадываются два идиоматических выражения: </w:t>
      </w:r>
      <w:proofErr w:type="spellStart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porter</w:t>
      </w:r>
      <w:proofErr w:type="spellEnd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son</w:t>
      </w:r>
      <w:proofErr w:type="spellEnd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bât</w:t>
      </w:r>
      <w:proofErr w:type="spellEnd"/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нести свой крест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</w:t>
      </w:r>
      <w:proofErr w:type="spellStart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savoir</w:t>
      </w:r>
      <w:proofErr w:type="spellEnd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où</w:t>
      </w:r>
      <w:proofErr w:type="spellEnd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le</w:t>
      </w:r>
      <w:proofErr w:type="spellEnd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bât</w:t>
      </w:r>
      <w:proofErr w:type="spellEnd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blesse</w:t>
      </w:r>
      <w:proofErr w:type="spellEnd"/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знать чье-то уязвимое место.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Идиомы характеризуются высокой устойчивостью, постоянством своей формы, а также особым значением: каждый из компонентов такого выражения подвергается переосмыслению. Благодаря своей яркой внутренней форме, выражения остаются узнаваемыми даже при деконструкции, которой их подвергает автор. </w:t>
      </w:r>
    </w:p>
    <w:p w14:paraId="5403A7B2" w14:textId="77777777" w:rsidR="000C7169" w:rsidRPr="000C7169" w:rsidRDefault="000C7169" w:rsidP="000C7169">
      <w:pPr>
        <w:ind w:firstLine="70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 семантическому критерию в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нутри этой группы возможна градация. Например, слово </w:t>
      </w:r>
      <w:proofErr w:type="spellStart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opprobre</w:t>
      </w:r>
      <w:proofErr w:type="spellEnd"/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П. </w:t>
      </w:r>
      <w:proofErr w:type="spellStart"/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Данинос</w:t>
      </w:r>
      <w:proofErr w:type="spellEnd"/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толкует следующим образом: 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On </w:t>
      </w:r>
      <w:proofErr w:type="spellStart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le</w:t>
      </w:r>
      <w:proofErr w:type="spellEnd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jette</w:t>
      </w:r>
      <w:proofErr w:type="spellEnd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souvent</w:t>
      </w:r>
      <w:proofErr w:type="spellEnd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. Les </w:t>
      </w:r>
      <w:proofErr w:type="spellStart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autres</w:t>
      </w:r>
      <w:proofErr w:type="spellEnd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en</w:t>
      </w:r>
      <w:proofErr w:type="spellEnd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sont</w:t>
      </w:r>
      <w:proofErr w:type="spellEnd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couverts</w:t>
      </w:r>
      <w:proofErr w:type="spellEnd"/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В данном случае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обыгрываются выражения </w:t>
      </w:r>
      <w:proofErr w:type="spellStart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être</w:t>
      </w:r>
      <w:proofErr w:type="spellEnd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couvert</w:t>
      </w:r>
      <w:proofErr w:type="spellEnd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d'opprobres</w:t>
      </w:r>
      <w:proofErr w:type="spellEnd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– быть опозоренным и </w:t>
      </w:r>
      <w:proofErr w:type="spellStart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jeter</w:t>
      </w:r>
      <w:proofErr w:type="spellEnd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l'opprobre</w:t>
      </w:r>
      <w:proofErr w:type="spellEnd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sur</w:t>
      </w:r>
      <w:proofErr w:type="spellEnd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quelqu'un</w:t>
      </w:r>
      <w:proofErr w:type="spellEnd"/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– опозорить кого-либо, где переосмысление подвергаются только отдельные элементы, а центральный компонент </w:t>
      </w:r>
      <w:proofErr w:type="spellStart"/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opprobre</w:t>
      </w:r>
      <w:proofErr w:type="spellEnd"/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используется в прямом значении. </w:t>
      </w:r>
    </w:p>
    <w:p w14:paraId="2B453C12" w14:textId="77777777" w:rsidR="000C7169" w:rsidRDefault="000C7169" w:rsidP="000C7169">
      <w:pPr>
        <w:ind w:firstLine="70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Другой тип стереотипа отличается полным отсутствием идиоматичности и меньшей степенью устойчивости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это коллокации, постоянно воспроизводимые словосочетания двух лексем, которые становятся стереотипными, не подвергаясь при этом семантической трансформации. Так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Данинос</w:t>
      </w:r>
      <w:proofErr w:type="spellEnd"/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характеризует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существительное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val="fr-FR" w:eastAsia="ru-RU"/>
          <w14:ligatures w14:val="none"/>
        </w:rPr>
        <w:t>audace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ледующим образом: 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m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val="fr-FR" w:eastAsia="ru-RU"/>
          <w14:ligatures w14:val="none"/>
        </w:rPr>
        <w:t>algr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é 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val="fr-FR" w:eastAsia="ru-RU"/>
          <w14:ligatures w14:val="none"/>
        </w:rPr>
        <w:t>son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val="fr-FR" w:eastAsia="ru-RU"/>
          <w14:ligatures w14:val="none"/>
        </w:rPr>
        <w:t>nom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, 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val="fr-FR" w:eastAsia="ru-RU"/>
          <w14:ligatures w14:val="none"/>
        </w:rPr>
        <w:t>sort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val="fr-FR" w:eastAsia="ru-RU"/>
          <w14:ligatures w14:val="none"/>
        </w:rPr>
        <w:t>rarement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val="fr-FR" w:eastAsia="ru-RU"/>
          <w14:ligatures w14:val="none"/>
        </w:rPr>
        <w:t>seule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, 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val="fr-FR" w:eastAsia="ru-RU"/>
          <w14:ligatures w14:val="none"/>
        </w:rPr>
        <w:t>mais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val="fr-FR" w:eastAsia="ru-RU"/>
          <w14:ligatures w14:val="none"/>
        </w:rPr>
        <w:t>plut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ô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val="fr-FR" w:eastAsia="ru-RU"/>
          <w14:ligatures w14:val="none"/>
        </w:rPr>
        <w:t>t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val="fr-FR" w:eastAsia="ru-RU"/>
          <w14:ligatures w14:val="none"/>
        </w:rPr>
        <w:t>accompagn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é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val="fr-FR" w:eastAsia="ru-RU"/>
          <w14:ligatures w14:val="none"/>
        </w:rPr>
        <w:t>e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val="fr-FR" w:eastAsia="ru-RU"/>
          <w14:ligatures w14:val="none"/>
        </w:rPr>
        <w:t>d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’</w:t>
      </w:r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val="fr-FR" w:eastAsia="ru-RU"/>
          <w14:ligatures w14:val="none"/>
        </w:rPr>
        <w:t>incroyable</w:t>
      </w:r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, </w:t>
      </w:r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val="fr-FR" w:eastAsia="ru-RU"/>
          <w14:ligatures w14:val="none"/>
        </w:rPr>
        <w:t>peu</w:t>
      </w:r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val="fr-FR" w:eastAsia="ru-RU"/>
          <w14:ligatures w14:val="none"/>
        </w:rPr>
        <w:t>commune</w:t>
      </w:r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, </w:t>
      </w:r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val="fr-FR" w:eastAsia="ru-RU"/>
          <w14:ligatures w14:val="none"/>
        </w:rPr>
        <w:t>inou</w:t>
      </w:r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ï</w:t>
      </w:r>
      <w:r w:rsidRPr="000C71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val="fr-FR" w:eastAsia="ru-RU"/>
          <w14:ligatures w14:val="none"/>
        </w:rPr>
        <w:t>e</w:t>
      </w:r>
      <w:r w:rsidRPr="000C7169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.</w:t>
      </w:r>
      <w:r w:rsidRPr="000C716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Таким образом, коллокации обладают гораздо большей вариативностью</w:t>
      </w:r>
      <w:r w:rsidR="000E7EA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чем предыдущие типы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</w:p>
    <w:p w14:paraId="1A1E414E" w14:textId="77777777" w:rsidR="000C7169" w:rsidRPr="000C7169" w:rsidRDefault="000C7169" w:rsidP="000C7169">
      <w:pPr>
        <w:ind w:firstLine="700"/>
        <w:jc w:val="both"/>
        <w:rPr>
          <w:rFonts w:ascii="Times New Roman" w:eastAsia="Times New Roman" w:hAnsi="Times New Roman" w:cs="Times New Roman"/>
          <w:kern w:val="0"/>
          <w:lang w:val="fr-FR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Кроме того, для ряда лексических единиц данного раздела автор приводит коммуникативные стереотипы, типичные фразы, возникающие в этом контексте. Например</w:t>
      </w:r>
      <w:r w:rsidRPr="000C7169">
        <w:rPr>
          <w:rFonts w:ascii="Times New Roman" w:eastAsia="Times New Roman" w:hAnsi="Times New Roman" w:cs="Times New Roman"/>
          <w:kern w:val="0"/>
          <w:lang w:val="fr-FR" w:eastAsia="ru-RU"/>
          <w14:ligatures w14:val="none"/>
        </w:rPr>
        <w:t xml:space="preserve">: </w:t>
      </w:r>
      <w:r w:rsidRPr="000C7169">
        <w:rPr>
          <w:rFonts w:ascii="Times New Roman" w:hAnsi="Times New Roman" w:cs="Times New Roman"/>
          <w:lang w:val="fr-FR"/>
        </w:rPr>
        <w:t>Guerre. — a) «Tant que le monde sera monde il y aura des guerres!»; b) «La guerre, c’est la guerre!»; c) «Il y en a toujours eu, il y en aura toujours.»</w:t>
      </w:r>
      <w:r w:rsidRPr="000C7169">
        <w:rPr>
          <w:rFonts w:ascii="Times New Roman" w:eastAsia="Times New Roman" w:hAnsi="Times New Roman" w:cs="Times New Roman"/>
          <w:kern w:val="0"/>
          <w:lang w:val="fr-FR" w:eastAsia="ru-RU"/>
          <w14:ligatures w14:val="none"/>
        </w:rPr>
        <w:t xml:space="preserve">  </w:t>
      </w:r>
    </w:p>
    <w:p w14:paraId="15BBFABF" w14:textId="77777777" w:rsidR="000C7169" w:rsidRDefault="000C7169" w:rsidP="000C716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Такие фразы, хотя и предполагают еще большую степень вариативности, чем предыдущие, легко узнаваемы для читателя, воспроизводятся в различных источниках. Часто коммуникативные стереотипы отсылают к каким-либо феноменам культуры. Так</w:t>
      </w:r>
      <w:r w:rsidRPr="000C71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например</w:t>
      </w:r>
      <w:r w:rsidRPr="000C71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</w:t>
      </w:r>
      <w:r w:rsidRPr="000C71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толковании</w:t>
      </w:r>
      <w:r w:rsidRPr="000C716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r w:rsidRPr="000C7169">
        <w:rPr>
          <w:rFonts w:ascii="Times New Roman" w:hAnsi="Times New Roman" w:cs="Times New Roman"/>
          <w:b/>
          <w:bCs/>
          <w:i/>
          <w:iCs/>
          <w:lang w:val="fr-FR"/>
        </w:rPr>
        <w:t>Patrie</w:t>
      </w:r>
      <w:r w:rsidRPr="000C7169">
        <w:rPr>
          <w:rFonts w:ascii="Times New Roman" w:hAnsi="Times New Roman" w:cs="Times New Roman"/>
          <w:i/>
          <w:iCs/>
        </w:rPr>
        <w:t xml:space="preserve"> — </w:t>
      </w:r>
      <w:r w:rsidRPr="000C7169">
        <w:rPr>
          <w:rFonts w:ascii="Times New Roman" w:hAnsi="Times New Roman" w:cs="Times New Roman"/>
          <w:i/>
          <w:iCs/>
          <w:lang w:val="fr-FR"/>
        </w:rPr>
        <w:t>Gr</w:t>
      </w:r>
      <w:r w:rsidRPr="000C7169">
        <w:rPr>
          <w:rFonts w:ascii="Times New Roman" w:hAnsi="Times New Roman" w:cs="Times New Roman"/>
          <w:i/>
          <w:iCs/>
        </w:rPr>
        <w:t>â</w:t>
      </w:r>
      <w:r w:rsidRPr="000C7169">
        <w:rPr>
          <w:rFonts w:ascii="Times New Roman" w:hAnsi="Times New Roman" w:cs="Times New Roman"/>
          <w:i/>
          <w:iCs/>
          <w:lang w:val="fr-FR"/>
        </w:rPr>
        <w:t>ce</w:t>
      </w:r>
      <w:r w:rsidRPr="000C7169">
        <w:rPr>
          <w:rFonts w:ascii="Times New Roman" w:hAnsi="Times New Roman" w:cs="Times New Roman"/>
          <w:i/>
          <w:iCs/>
        </w:rPr>
        <w:t xml:space="preserve"> à </w:t>
      </w:r>
      <w:r w:rsidRPr="000C7169">
        <w:rPr>
          <w:rFonts w:ascii="Times New Roman" w:hAnsi="Times New Roman" w:cs="Times New Roman"/>
          <w:i/>
          <w:iCs/>
          <w:lang w:val="fr-FR"/>
        </w:rPr>
        <w:t>la</w:t>
      </w:r>
      <w:r w:rsidRPr="000C7169">
        <w:rPr>
          <w:rFonts w:ascii="Times New Roman" w:hAnsi="Times New Roman" w:cs="Times New Roman"/>
          <w:i/>
          <w:iCs/>
        </w:rPr>
        <w:t xml:space="preserve"> </w:t>
      </w:r>
      <w:r w:rsidRPr="000C7169">
        <w:rPr>
          <w:rFonts w:ascii="Times New Roman" w:hAnsi="Times New Roman" w:cs="Times New Roman"/>
          <w:i/>
          <w:iCs/>
          <w:lang w:val="fr-FR"/>
        </w:rPr>
        <w:t>France</w:t>
      </w:r>
      <w:r w:rsidRPr="000C7169">
        <w:rPr>
          <w:rFonts w:ascii="Times New Roman" w:hAnsi="Times New Roman" w:cs="Times New Roman"/>
          <w:i/>
          <w:iCs/>
        </w:rPr>
        <w:t xml:space="preserve">, </w:t>
      </w:r>
      <w:r w:rsidRPr="000C7169">
        <w:rPr>
          <w:rFonts w:ascii="Times New Roman" w:hAnsi="Times New Roman" w:cs="Times New Roman"/>
          <w:i/>
          <w:iCs/>
          <w:lang w:val="fr-FR"/>
        </w:rPr>
        <w:t>tout</w:t>
      </w:r>
      <w:r w:rsidRPr="000C7169">
        <w:rPr>
          <w:rFonts w:ascii="Times New Roman" w:hAnsi="Times New Roman" w:cs="Times New Roman"/>
          <w:i/>
          <w:iCs/>
        </w:rPr>
        <w:t xml:space="preserve"> </w:t>
      </w:r>
      <w:r w:rsidRPr="000C7169">
        <w:rPr>
          <w:rFonts w:ascii="Times New Roman" w:hAnsi="Times New Roman" w:cs="Times New Roman"/>
          <w:i/>
          <w:iCs/>
          <w:lang w:val="fr-FR"/>
        </w:rPr>
        <w:t>homme</w:t>
      </w:r>
      <w:r w:rsidRPr="000C7169">
        <w:rPr>
          <w:rFonts w:ascii="Times New Roman" w:hAnsi="Times New Roman" w:cs="Times New Roman"/>
          <w:i/>
          <w:iCs/>
        </w:rPr>
        <w:t xml:space="preserve"> </w:t>
      </w:r>
      <w:r w:rsidRPr="000C7169">
        <w:rPr>
          <w:rFonts w:ascii="Times New Roman" w:hAnsi="Times New Roman" w:cs="Times New Roman"/>
          <w:i/>
          <w:iCs/>
          <w:lang w:val="fr-FR"/>
        </w:rPr>
        <w:t>en</w:t>
      </w:r>
      <w:r w:rsidRPr="000C7169">
        <w:rPr>
          <w:rFonts w:ascii="Times New Roman" w:hAnsi="Times New Roman" w:cs="Times New Roman"/>
          <w:i/>
          <w:iCs/>
        </w:rPr>
        <w:t xml:space="preserve"> </w:t>
      </w:r>
      <w:r w:rsidRPr="000C7169">
        <w:rPr>
          <w:rFonts w:ascii="Times New Roman" w:hAnsi="Times New Roman" w:cs="Times New Roman"/>
          <w:i/>
          <w:iCs/>
          <w:lang w:val="fr-FR"/>
        </w:rPr>
        <w:t>a</w:t>
      </w:r>
      <w:r w:rsidRPr="000C7169">
        <w:rPr>
          <w:rFonts w:ascii="Times New Roman" w:hAnsi="Times New Roman" w:cs="Times New Roman"/>
          <w:i/>
          <w:iCs/>
        </w:rPr>
        <w:t xml:space="preserve"> </w:t>
      </w:r>
      <w:r w:rsidRPr="000C7169">
        <w:rPr>
          <w:rFonts w:ascii="Times New Roman" w:hAnsi="Times New Roman" w:cs="Times New Roman"/>
          <w:lang w:val="fr-FR"/>
        </w:rPr>
        <w:t>deux</w:t>
      </w:r>
      <w:r w:rsidRPr="000C7169">
        <w:rPr>
          <w:rFonts w:ascii="Times New Roman" w:hAnsi="Times New Roman" w:cs="Times New Roman"/>
        </w:rPr>
        <w:t xml:space="preserve"> легко считывается известная цитата </w:t>
      </w:r>
      <w:r>
        <w:rPr>
          <w:rFonts w:ascii="Times New Roman" w:hAnsi="Times New Roman" w:cs="Times New Roman"/>
        </w:rPr>
        <w:t>Томаса Джефферсона: «</w:t>
      </w:r>
      <w:r w:rsidRPr="000C7169">
        <w:rPr>
          <w:rFonts w:ascii="Times New Roman" w:hAnsi="Times New Roman" w:cs="Times New Roman"/>
        </w:rPr>
        <w:t xml:space="preserve">У каждого человека две родины </w:t>
      </w:r>
      <w:r>
        <w:rPr>
          <w:rFonts w:ascii="Times New Roman" w:hAnsi="Times New Roman" w:cs="Times New Roman"/>
        </w:rPr>
        <w:t>–</w:t>
      </w:r>
      <w:r w:rsidRPr="000C7169">
        <w:rPr>
          <w:rFonts w:ascii="Times New Roman" w:hAnsi="Times New Roman" w:cs="Times New Roman"/>
        </w:rPr>
        <w:t xml:space="preserve"> его собственная и Франция</w:t>
      </w:r>
      <w:r>
        <w:rPr>
          <w:rFonts w:ascii="Times New Roman" w:hAnsi="Times New Roman" w:cs="Times New Roman"/>
        </w:rPr>
        <w:t xml:space="preserve">». </w:t>
      </w:r>
    </w:p>
    <w:p w14:paraId="678F27B5" w14:textId="77777777" w:rsidR="000C7169" w:rsidRDefault="000C7169" w:rsidP="000C716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можно сделать вывод, что именно категория устойчивости оказывается наиболее важной для языковых стереотипов</w:t>
      </w:r>
      <w:r w:rsidR="000E7EAC">
        <w:rPr>
          <w:rFonts w:ascii="Times New Roman" w:hAnsi="Times New Roman" w:cs="Times New Roman"/>
        </w:rPr>
        <w:t>, позволяющей их дифференцировать</w:t>
      </w:r>
      <w:r>
        <w:rPr>
          <w:rFonts w:ascii="Times New Roman" w:hAnsi="Times New Roman" w:cs="Times New Roman"/>
        </w:rPr>
        <w:t xml:space="preserve">. </w:t>
      </w:r>
    </w:p>
    <w:p w14:paraId="79F33F0A" w14:textId="77777777" w:rsidR="000C7169" w:rsidRDefault="000C7169" w:rsidP="000C7169">
      <w:pPr>
        <w:ind w:firstLine="709"/>
        <w:jc w:val="center"/>
        <w:rPr>
          <w:rFonts w:ascii="Times New Roman" w:hAnsi="Times New Roman" w:cs="Times New Roman"/>
        </w:rPr>
      </w:pPr>
    </w:p>
    <w:p w14:paraId="03C65F3E" w14:textId="77777777" w:rsidR="000C7169" w:rsidRDefault="000C7169" w:rsidP="000C7169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0C7169">
        <w:rPr>
          <w:rFonts w:ascii="Times New Roman" w:hAnsi="Times New Roman" w:cs="Times New Roman"/>
          <w:b/>
          <w:bCs/>
        </w:rPr>
        <w:t>Литература</w:t>
      </w:r>
    </w:p>
    <w:p w14:paraId="6C4083B2" w14:textId="77777777" w:rsidR="000C7169" w:rsidRPr="000C7169" w:rsidRDefault="000C7169" w:rsidP="008F20C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7169">
        <w:rPr>
          <w:rFonts w:ascii="Times New Roman" w:hAnsi="Times New Roman" w:cs="Times New Roman"/>
          <w:color w:val="000000"/>
        </w:rPr>
        <w:t xml:space="preserve">Баранов А.Н., Добровольский Д.О. Аспекты теории фразеологии. М., 2008. </w:t>
      </w:r>
    </w:p>
    <w:p w14:paraId="02092A05" w14:textId="77777777" w:rsidR="000C7169" w:rsidRDefault="000C7169" w:rsidP="000C716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7169">
        <w:rPr>
          <w:rFonts w:ascii="Times New Roman" w:hAnsi="Times New Roman" w:cs="Times New Roman"/>
        </w:rPr>
        <w:t>Николаева Т.М. Речевые, коммуникативные и ментальные стереотипы: социолингвистическая дистрибуция // Язык как средство трансляции культуры.</w:t>
      </w:r>
      <w:r>
        <w:rPr>
          <w:rFonts w:ascii="Times New Roman" w:hAnsi="Times New Roman" w:cs="Times New Roman"/>
        </w:rPr>
        <w:t xml:space="preserve"> </w:t>
      </w:r>
      <w:r w:rsidRPr="000C7169">
        <w:rPr>
          <w:rFonts w:ascii="Times New Roman" w:hAnsi="Times New Roman" w:cs="Times New Roman"/>
        </w:rPr>
        <w:t>М., 2000. – С. 112-131.</w:t>
      </w:r>
    </w:p>
    <w:p w14:paraId="349DBA17" w14:textId="77777777" w:rsidR="000C7169" w:rsidRPr="000C7169" w:rsidRDefault="000C7169" w:rsidP="008F20C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 w:rsidRPr="000C7169">
        <w:rPr>
          <w:rFonts w:ascii="Times New Roman" w:hAnsi="Times New Roman" w:cs="Times New Roman"/>
          <w:lang w:val="fr-FR"/>
        </w:rPr>
        <w:t>Confais J.-P. Langage préfabriqu</w:t>
      </w:r>
      <w:r w:rsidRPr="000C7169">
        <w:rPr>
          <w:rFonts w:ascii="Times New Roman" w:hAnsi="Times New Roman" w:cs="Times New Roman"/>
          <w:lang w:val="fr-CA"/>
        </w:rPr>
        <w:t xml:space="preserve">é et phraséologie </w:t>
      </w:r>
      <w:r w:rsidRPr="000C7169">
        <w:rPr>
          <w:rFonts w:ascii="Times New Roman" w:hAnsi="Times New Roman" w:cs="Times New Roman"/>
          <w:lang w:val="fr-FR"/>
        </w:rPr>
        <w:t xml:space="preserve">// </w:t>
      </w:r>
      <w:r w:rsidRPr="000C7169">
        <w:rPr>
          <w:rFonts w:ascii="Times New Roman" w:hAnsi="Times New Roman" w:cs="Times New Roman"/>
          <w:lang w:val="fr-CA"/>
        </w:rPr>
        <w:t xml:space="preserve">Stéréotypie et figement : à l’origine du sens. Toulouse, 2015. – P. 29-39. </w:t>
      </w:r>
    </w:p>
    <w:p w14:paraId="21F8C7A5" w14:textId="77777777" w:rsidR="000C7169" w:rsidRPr="000C7169" w:rsidRDefault="000C7169" w:rsidP="000C716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CA"/>
        </w:rPr>
        <w:t xml:space="preserve">Daninos P. Le Jacassin. Paris, 1962.  </w:t>
      </w:r>
    </w:p>
    <w:sectPr w:rsidR="000C7169" w:rsidRPr="000C7169" w:rsidSect="000825A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28E3"/>
    <w:multiLevelType w:val="hybridMultilevel"/>
    <w:tmpl w:val="1F7C4D74"/>
    <w:lvl w:ilvl="0" w:tplc="E10C122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D272A"/>
    <w:multiLevelType w:val="hybridMultilevel"/>
    <w:tmpl w:val="61D8F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183236">
    <w:abstractNumId w:val="1"/>
  </w:num>
  <w:num w:numId="2" w16cid:durableId="37507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69"/>
    <w:rsid w:val="000825AE"/>
    <w:rsid w:val="000C7169"/>
    <w:rsid w:val="000D02FB"/>
    <w:rsid w:val="000E7EAC"/>
    <w:rsid w:val="00521A29"/>
    <w:rsid w:val="009F412E"/>
    <w:rsid w:val="00FA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51FA"/>
  <w15:chartTrackingRefBased/>
  <w15:docId w15:val="{03F957D7-54A4-2642-AAB7-21907A49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16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7169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0C716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0C7169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F412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F412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F412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F412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F41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658</Words>
  <Characters>4593</Characters>
  <Application>Microsoft Office Word</Application>
  <DocSecurity>0</DocSecurity>
  <Lines>79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2024-02-16T16:11:00Z</dcterms:created>
  <dcterms:modified xsi:type="dcterms:W3CDTF">2024-02-16T20:05:00Z</dcterms:modified>
</cp:coreProperties>
</file>