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Анализ фильма «Солярис» Стивена Содерберга как экранизации романа Станислава Лема и ремейка фильма Андрея Тарковского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Каюмова Нигина Абулкосимовна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Студентка Московского государственного университета имени М.В.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Ломоносова, </w:t>
        <w:br w:type="textWrapping"/>
        <w:t xml:space="preserve">Москва, Россия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Массовый западный зритель услышал о «Солярисе» Тарковского, возможно, поздно, в связи с третьей, голливудской экранизацией «Соляриса» Стивена Содерберга (2002; рецензии на этот фильм непременно упоминают экранизацию Тарковского). И большинство англоязычных работ, которые нам удалось изучить, анализируют различия между Тарковским и Лемом, обязательно включая в сравнение фильм Содерберга. Например, свою статью Мириам Джордан и Джулия Халадин полностью посвящают сравнению Хари Тарковского и Реи Содерберга. Роман Лема для них оказывается лишь фабульной основой реальности, которую интегрируют в свои художественные кинокартины два режиссёра: «Within their respective versions of Solaris, Tarkovsky and Soderbergh adapt Lem’s text as a model upon which the simulated reality of their narratives are based» [Jordan, Haladyn: 267]. Сдвигая фокус с противостояния Земли и Соляриса как возможного дома для человечества на частную жизнь героя, Содерберг рассказывает свою историю. Режиссер переносит фабулу в сферу, близкую ему как автору и зрителю массовой культуры.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 «Солярисе» Содерберга (сценарий написан самим режиссером) при всей соответствующей фантастичности сюжета последовательно выстроены множество параллелей с сюжетом и кругом идей «Соляриса» Тарковского. Несмотря на попытки режиссера преподнести в медиа свой фильм в качестве экранизации, тщательно следующей за романом, уже в период производства фильма «Солярис» Содерберга воспринимался как ремейк предыдущей экранизации. Оказавшись между адаптацией Тарковского и противоположным ей литературным оригиналом Лема, мы не можем не поместить «Солярис» 2002 года в треугольник взаимосвязи с обоими произведениями.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Фигура Тарковского в сознании отечественного зрителя очень самостоятельна: в работе с литературным оригиналом режиссер осуществляет оригинальную авторскую интерпретацию, преодолевая привычную для нашего представления об экранизациях «вторичность».</w:t>
      </w:r>
      <w:r w:rsidDel="00000000" w:rsidR="00000000" w:rsidRPr="00000000">
        <w:rPr>
          <w:rtl w:val="0"/>
        </w:rPr>
        <w:t xml:space="preserve"> Таким образом, создавая свою версию «Соляриса», Содерберг, как мы полагаем, вынужден учитывать два предшествующих самостоятельных произведения.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Известно категоричное мнение Тарковского о порочности чрезмерного обилия технических, научно-фантастических декораций. Уподобляя прилунение космического самолета посадке пассажиров в трамвай, Тарковский будто бы пытается преодолеть эффект остранения, обязательно возникающий из-за специфики научной фантастики. Однако у Тарковского станция на Солярисе и Океан все же оказываются более проработаны в художественном плане, нежели у Содерберга. Если у Тарковского благодаря большой сцене видео-рапорта Бертона, а также за время, посвященное в фильме изображению вида за бортом станции, Океан приобретает форму и становится — нет, не одним из главных, как у Лема, — но второстепенным персонажем кинокартины, то у Содерберга космическая станция оказывается условным пространством, при этом весьма знакомым по западным научно-фантастическим фильмов: минималистичные комнаты, реальные размеры которых не передаются на экране, бел</w:t>
      </w:r>
      <w:r w:rsidDel="00000000" w:rsidR="00000000" w:rsidRPr="00000000">
        <w:rPr>
          <w:rtl w:val="0"/>
        </w:rPr>
        <w:t xml:space="preserve">о-синее холодное освещение, преобладание металла в декорациях. Станция у Содерберга — всего лишь повод для изоляции героев, где автор оставляет их наедине с необъяснимыми явлениями Океана и не отпускающим прошлым. Кроме того, как и Тарковский, Содерберг не передаёт освещение двух Солнц Соляриса, а сам Океан скорее походит на межзвездное облако, а не огромное водное пространство.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Авторы каждой из адаптаций выбирают главный </w:t>
      </w:r>
      <w:r w:rsidDel="00000000" w:rsidR="00000000" w:rsidRPr="00000000">
        <w:rPr>
          <w:rtl w:val="0"/>
        </w:rPr>
        <w:t xml:space="preserve">приём</w:t>
      </w:r>
      <w:r w:rsidDel="00000000" w:rsidR="00000000" w:rsidRPr="00000000">
        <w:rPr>
          <w:rtl w:val="0"/>
        </w:rPr>
        <w:t xml:space="preserve">, придающий их фильму целостность субъективного взгляда. </w:t>
      </w:r>
      <w:r w:rsidDel="00000000" w:rsidR="00000000" w:rsidRPr="00000000">
        <w:rPr>
          <w:rtl w:val="0"/>
        </w:rPr>
        <w:t xml:space="preserve">В «Солярисе» Со</w:t>
      </w:r>
      <w:r w:rsidDel="00000000" w:rsidR="00000000" w:rsidRPr="00000000">
        <w:rPr>
          <w:rtl w:val="0"/>
        </w:rPr>
        <w:t xml:space="preserve">дерберга то же ощущение от космической станции как фона, незначительного по меркам научной фантастики, происходит за счет частых вставок, флэшбеков о прежней жизни Криса с женой. </w:t>
      </w:r>
      <w:r w:rsidDel="00000000" w:rsidR="00000000" w:rsidRPr="00000000">
        <w:rPr>
          <w:rtl w:val="0"/>
        </w:rPr>
        <w:t xml:space="preserve">Подобный ход у Тарковского — привычная для него граница сна и субъективного воспоминания.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Цитируя произведения искусства, оба режиссера делают мир Соляриса более земным. В фильме Содерберга таким произведением искусства становится стихотворение </w:t>
      </w:r>
      <w:r w:rsidDel="00000000" w:rsidR="00000000" w:rsidRPr="00000000">
        <w:rPr>
          <w:rtl w:val="0"/>
        </w:rPr>
        <w:t xml:space="preserve">Дилана Томаса «А смерти ничего не унаследовать…»,</w:t>
      </w:r>
      <w:r w:rsidDel="00000000" w:rsidR="00000000" w:rsidRPr="00000000">
        <w:rPr>
          <w:rtl w:val="0"/>
        </w:rPr>
        <w:t xml:space="preserve"> звучащее трижды и эмблематизирующее отношения Криса и Реи. Впервые оно появляется в воспоминаниях о зарождении любви и дальше оказывается на вырванном листе в руках погибшей Реи, как посмертная записка. Этот же лист находит Рея на станции среди вещей Криса.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При всем различии между фильмами, оба они впоследствии оценивались в их соотнесенности с романом; так, </w:t>
      </w:r>
      <w:r w:rsidDel="00000000" w:rsidR="00000000" w:rsidRPr="00000000">
        <w:rPr>
          <w:rtl w:val="0"/>
        </w:rPr>
        <w:t xml:space="preserve">Э. Гомель пишет: «”Солярис” имел несчастье привлечь внимание двух самых выдающихся режиссеров двадцатого века. Хотя две экранизации романа, Тарковского и Содерберга, принесли роману международную известность, они также серьезно исказили его смысл» [Gomel: 195]. Как известно, Лем критиковал оба фильма и не отказывался узнавать в них свой придуманную им историю.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Фильм Содерберга показывает сентиментальную любовь в космосе. Режиссер отказывается от возможностей, предлагаемых компьютерными технологиями, которые могли бы создать визуальный эквивалент потрясающего изображения Океана у Лема, изображения, казалось бы, потенциально такого кинематографически эффектного.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Мистические рассуждения Тарковского, обращенные к печальной исторической судьбе Матери-России, вряд ли вообще имеют какое-либо отношение к научной фантастике, инопланетянам, эпистемологии или этике. Оба фильма, по мнению романиста, неудачны, поскольку упускают суть оригинала. Но интересный вопрос, который Лем не задает, заключается в том, почему оба режиссера выбрали именно «Солярис».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Ответ в том, что «Солярис» — это в каком-то смысле роман о любви, раскаянии, памяти и истории, поскольку все это — аспекты человеческого бытия.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Jordan M., Haladyn J.J.</w:t>
      </w:r>
      <w:r w:rsidDel="00000000" w:rsidR="00000000" w:rsidRPr="00000000">
        <w:rPr>
          <w:rtl w:val="0"/>
        </w:rPr>
        <w:t xml:space="preserve"> Simulation, Simulacra and Solaris // Film-Philosophy. 2010. №14.1. С.253-273.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i w:val="1"/>
          <w:rtl w:val="0"/>
        </w:rPr>
        <w:t xml:space="preserve">Gomel E.</w:t>
      </w:r>
      <w:r w:rsidDel="00000000" w:rsidR="00000000" w:rsidRPr="00000000">
        <w:rPr>
          <w:rtl w:val="0"/>
        </w:rPr>
        <w:t xml:space="preserve"> Science Fiction, Alien Encounters, and the Ethics of Posthumanism. London, 2014.</w:t>
      </w:r>
    </w:p>
    <w:sectPr>
      <w:headerReference r:id="rId7" w:type="default"/>
      <w:footerReference r:id="rId8" w:type="default"/>
      <w:pgSz w:h="16838" w:w="11906" w:orient="portrait"/>
      <w:pgMar w:bottom="1134" w:top="1134" w:left="1417" w:right="1417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709"/>
      <w:jc w:val="both"/>
      <w:outlineLvl w:val="9"/>
    </w:pPr>
    <w:rPr>
      <w:rFonts w:ascii="Times New Roman" w:cs="Arial Unicode MS" w:eastAsia="Arial Unicode MS" w:hAnsi="Times New Roman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ru-RU"/>
      <w14:textFill>
        <w14:solidFill>
          <w14:srgbClr w14:val="000000"/>
        </w14:solidFill>
      </w14:textFill>
      <w14:textOutline>
        <w14:noFill/>
      </w14:textOutline>
    </w:rPr>
  </w:style>
  <w:style w:type="numbering" w:styleId="С числами">
    <w:name w:val="С числами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45000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l0mCjOhg8KBeB6pj5I70Hg3sQ==">CgMxLjA4AHIhMXJTb1ZGZFJVM2tsaE5Jb3o1bU9aUGg2R1pVQjJ2WWdt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