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B07982">
      <w:pPr>
        <w:pStyle w:val="BodyText"/>
        <w:widowControl/>
        <w:tabs>
          <w:tab w:val="left" w:pos="5325"/>
        </w:tabs>
        <w:spacing w:after="150"/>
        <w:jc w:val="center"/>
      </w:pPr>
      <w:bookmarkStart w:id="0" w:name="_GoBack"/>
      <w:bookmarkEnd w:id="0"/>
      <w:r>
        <w:rPr>
          <w:rStyle w:val="Strong"/>
        </w:rPr>
        <w:t>Концепт «судьба» в повести М.Ю. Лермонтова «Фаталист»: к вопросу о фольклоризме литературного текста</w:t>
      </w:r>
    </w:p>
    <w:p w:rsidR="00000000" w:rsidRDefault="00B07982">
      <w:pPr>
        <w:pStyle w:val="BodyText"/>
        <w:widowControl/>
        <w:tabs>
          <w:tab w:val="left" w:pos="5325"/>
        </w:tabs>
        <w:spacing w:after="150"/>
        <w:jc w:val="center"/>
      </w:pPr>
      <w:r>
        <w:t>Шмакова Ксения Александровна</w:t>
      </w:r>
    </w:p>
    <w:p w:rsidR="00000000" w:rsidRDefault="00B07982">
      <w:pPr>
        <w:pStyle w:val="BodyText"/>
        <w:widowControl/>
        <w:tabs>
          <w:tab w:val="left" w:pos="5325"/>
        </w:tabs>
        <w:spacing w:after="150"/>
        <w:jc w:val="center"/>
      </w:pPr>
      <w:r>
        <w:t>Студентка Московского государственного университета имени М.В. Ломоносова, Москва, Россия</w:t>
      </w:r>
    </w:p>
    <w:p w:rsidR="00000000" w:rsidRDefault="00B07982">
      <w:pPr>
        <w:tabs>
          <w:tab w:val="left" w:pos="5255"/>
          <w:tab w:val="left" w:pos="5422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Изучение фольклоризма литературы в п</w:t>
      </w:r>
      <w:r>
        <w:rPr>
          <w:rFonts w:cs="Times New Roman"/>
        </w:rPr>
        <w:t>рагматическом (коммуникативном) аспекте предполагает анализ произведения с двух позиций – авторской (адресант) и читательской (адресат). Поскольку в конечном счете замысел текста раскрывается на пересечении двух указанных оптик его видения, литератор, опир</w:t>
      </w:r>
      <w:r>
        <w:rPr>
          <w:rFonts w:cs="Times New Roman"/>
        </w:rPr>
        <w:t>ающийся на фольклор при создании оригинального текста, с одной стороны, должен помнить о том, что у читателя уже есть определенное «предзнание» фольклорной традиции (от его глубины и актуальности напрямую зависит интерпретация им авторского текста), а с др</w:t>
      </w:r>
      <w:r>
        <w:rPr>
          <w:rFonts w:cs="Times New Roman"/>
        </w:rPr>
        <w:t xml:space="preserve">угой, знать, какие «сценарии» (= прагматические модели) работы с фольклорным материалом представлены в принципе. По мнению В.В. Головина и О.Р. Николаева их девять: они могут существовать в тексте одновременно, при этом создавая определённую </w:t>
      </w:r>
      <w:r>
        <w:rPr>
          <w:rFonts w:cs="Times New Roman"/>
        </w:rPr>
        <w:t>«</w:t>
      </w:r>
      <w:r>
        <w:rPr>
          <w:rFonts w:cs="Times New Roman"/>
        </w:rPr>
        <w:t>иерархию доми</w:t>
      </w:r>
      <w:r>
        <w:rPr>
          <w:rFonts w:cs="Times New Roman"/>
        </w:rPr>
        <w:t>нант</w:t>
      </w:r>
      <w:r>
        <w:rPr>
          <w:rFonts w:cs="Times New Roman"/>
        </w:rPr>
        <w:t>» [Головин, Николаев: 18]. Ч</w:t>
      </w:r>
      <w:r>
        <w:rPr>
          <w:rFonts w:cs="Times New Roman"/>
        </w:rPr>
        <w:t>ем больше моделей используется автором, тем очевиднее фольклоризм создаваемого им текста. Роман М.Ю. Лермонтова «Герой нашего времени», состоящий из пяти повестей, – яркое тому подтверждение: рецепция фольклорной топики разн</w:t>
      </w:r>
      <w:r>
        <w:rPr>
          <w:rFonts w:cs="Times New Roman"/>
        </w:rPr>
        <w:t xml:space="preserve">ого уровня наиболее явно выражена в «Тамани», наименее – в «Фаталисте» (в нем из девяти возможных реализуется одна прагматическая модель – «использование фольклорных архетипов», а именно – концепта «судьба», входящего в круг ключевых тем романа в целом). </w:t>
      </w:r>
    </w:p>
    <w:p w:rsidR="00000000" w:rsidRDefault="00B07982">
      <w:pPr>
        <w:tabs>
          <w:tab w:val="left" w:pos="5255"/>
          <w:tab w:val="left" w:pos="5422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В языке и культуре концепт «судьба» имеет различные лексемные выражения [Хохлова]</w:t>
      </w:r>
      <w:r>
        <w:rPr>
          <w:rFonts w:cs="Times New Roman"/>
        </w:rPr>
        <w:t xml:space="preserve"> – </w:t>
      </w:r>
      <w:r>
        <w:rPr>
          <w:rFonts w:cs="Times New Roman"/>
          <w:i/>
          <w:iCs/>
        </w:rPr>
        <w:t xml:space="preserve">судьба, доля, </w:t>
      </w:r>
      <w:r>
        <w:rPr>
          <w:rFonts w:cs="Times New Roman"/>
          <w:i/>
          <w:iCs/>
        </w:rPr>
        <w:t>участь, удел, жребий, планида, фортуна</w:t>
      </w:r>
      <w:r>
        <w:rPr>
          <w:rFonts w:cs="Times New Roman"/>
          <w:i/>
          <w:iCs/>
        </w:rPr>
        <w:t xml:space="preserve">, рок, фатум </w:t>
      </w:r>
      <w:r>
        <w:rPr>
          <w:rFonts w:cs="Times New Roman"/>
        </w:rPr>
        <w:t>(последняя лексема вынесена в название повести). Подобное разнообразие определило этимологическую дихотомию</w:t>
      </w:r>
      <w:r>
        <w:rPr>
          <w:rFonts w:cs="Times New Roman"/>
        </w:rPr>
        <w:t xml:space="preserve"> рассматриваемого концепта: «первым значением слова </w:t>
      </w:r>
      <w:r>
        <w:rPr>
          <w:rFonts w:cs="Times New Roman"/>
          <w:i/>
          <w:iCs/>
        </w:rPr>
        <w:t>судьба</w:t>
      </w:r>
      <w:r>
        <w:rPr>
          <w:rFonts w:cs="Times New Roman"/>
        </w:rPr>
        <w:t xml:space="preserve"> было ‘суд’» [Никитина: 130] (возможность формирования/изменения жизненного сценария на основе совершаемых человеком поступков), второе – «неумолимая сила, действие которой изменить невозможно» [Сла</w:t>
      </w:r>
      <w:r>
        <w:rPr>
          <w:rFonts w:cs="Times New Roman"/>
        </w:rPr>
        <w:t xml:space="preserve">вянские древности 2012: 204]. Именно эта дихотомия положена в основу проблематики повести. </w:t>
      </w:r>
      <w:r>
        <w:rPr>
          <w:rFonts w:cs="Times New Roman"/>
        </w:rPr>
        <w:t>Повлияла ли на нее (и если да, то в какой мере) фольклорная традиция?</w:t>
      </w:r>
    </w:p>
    <w:p w:rsidR="00000000" w:rsidRDefault="00B07982">
      <w:pPr>
        <w:tabs>
          <w:tab w:val="left" w:pos="5255"/>
          <w:tab w:val="left" w:pos="5422"/>
        </w:tabs>
        <w:spacing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>Комплекс народных представлений о судьбе/доле представлен во многих фольклорных жанрах, но глав</w:t>
      </w:r>
      <w:r>
        <w:rPr>
          <w:rFonts w:cs="Times New Roman"/>
        </w:rPr>
        <w:t xml:space="preserve">ным образом в паремиях (приметах, </w:t>
      </w:r>
      <w:r>
        <w:rPr>
          <w:rFonts w:cs="Times New Roman"/>
        </w:rPr>
        <w:t>знамениях, снотолкованиях</w:t>
      </w:r>
      <w:r>
        <w:rPr>
          <w:rFonts w:cs="Times New Roman"/>
        </w:rPr>
        <w:t xml:space="preserve">, поверьях, </w:t>
      </w:r>
      <w:r>
        <w:rPr>
          <w:rFonts w:cs="Times New Roman"/>
        </w:rPr>
        <w:t>пословицах</w:t>
      </w:r>
      <w:r>
        <w:rPr>
          <w:rFonts w:cs="Times New Roman"/>
        </w:rPr>
        <w:t>), мифологической и легендарной прозе, гадательных обрядовых практиках. Отсылкой к ним насыщен текст «Фаталиста». Приведу несколько примеров.</w:t>
      </w:r>
    </w:p>
    <w:p w:rsidR="00000000" w:rsidRDefault="00B07982">
      <w:pPr>
        <w:tabs>
          <w:tab w:val="left" w:pos="5255"/>
          <w:tab w:val="left" w:pos="5422"/>
        </w:tabs>
        <w:spacing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>Важную роль в повести играет тема</w:t>
      </w:r>
      <w:r>
        <w:rPr>
          <w:rFonts w:cs="Times New Roman"/>
        </w:rPr>
        <w:t xml:space="preserve"> предсказания судьбы. Она может проявляться физиогномически (Печорин замечает на лице Вулича «странный отпечаток неизбежной судьбы» [Лермонтов: 341]), в карточной игре (бросок карты во время решающего момента игры в рулетку). Не менее важен эпизод спора о </w:t>
      </w:r>
      <w:r>
        <w:rPr>
          <w:rFonts w:cs="Times New Roman"/>
        </w:rPr>
        <w:t>мусульманском поверье «будто судьба человека написана на небесах» [Там же: 338]. По-видимому, с ним можно связать хронотоп последующих событий повести.</w:t>
      </w:r>
    </w:p>
    <w:p w:rsidR="00000000" w:rsidRDefault="00B07982">
      <w:pPr>
        <w:tabs>
          <w:tab w:val="left" w:pos="5255"/>
          <w:tab w:val="left" w:pos="5422"/>
        </w:tabs>
        <w:spacing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Возвращаясь с карточной игры, Печорин видит «месяц, полный и красный, как зарево пожара» [Там же: 342]. </w:t>
      </w:r>
      <w:r>
        <w:rPr>
          <w:rFonts w:cs="Times New Roman"/>
        </w:rPr>
        <w:t>Луна – «небесное светило, в народных верованиях устойчиво ассоциирующееся с загробным миром и областью смерти» [Славянские древности 2004: 143] (причем полнолуние мыслится как наиболее опасная – пограничная, переходная – фаза его изменений, а приобретаемый</w:t>
      </w:r>
      <w:r>
        <w:rPr>
          <w:rFonts w:cs="Times New Roman"/>
        </w:rPr>
        <w:t xml:space="preserve"> им красный цвет служит верным предзнаменование войн и кровопролитий [Там же 1999: 647]). </w:t>
      </w:r>
    </w:p>
    <w:p w:rsidR="00000000" w:rsidRDefault="00B07982">
      <w:pPr>
        <w:tabs>
          <w:tab w:val="left" w:pos="5255"/>
          <w:tab w:val="left" w:pos="5422"/>
        </w:tabs>
        <w:spacing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народных представлениях луна также связывается с демоническими существами – чертом и ведьмой, способными предсказывать будущее. В несказочной прозе в ночное время </w:t>
      </w:r>
      <w:r>
        <w:rPr>
          <w:rFonts w:cs="Times New Roman"/>
        </w:rPr>
        <w:t xml:space="preserve">они нередко предстают перед человеком в образе свиньи (см. </w:t>
      </w:r>
      <w:r>
        <w:rPr>
          <w:rFonts w:cs="Times New Roman"/>
        </w:rPr>
        <w:lastRenderedPageBreak/>
        <w:t>поверье: встреча с этим животным означает, что «успеха в делах не будет» [Там же 2009: 577]). Неслучайно по дороге домой Печорин видит свинью, «разрубленную пополам шашкой» [Лермонтов: 343]. Чуть п</w:t>
      </w:r>
      <w:r>
        <w:rPr>
          <w:rFonts w:cs="Times New Roman"/>
        </w:rPr>
        <w:t xml:space="preserve">озже именно таким образом будет убит Вулич. К фольклорной традиции можно возвести и место локации двух событий: исстари самыми верными считались гадания, совершаемые на дороге/перекрестке, в локусе проявления «судьбы, доли, удачи человека при его встречах </w:t>
      </w:r>
      <w:r>
        <w:rPr>
          <w:rFonts w:cs="Times New Roman"/>
        </w:rPr>
        <w:t>с людьми, животными, демонами» [Славянские древности 1999: 124].</w:t>
      </w:r>
    </w:p>
    <w:p w:rsidR="00000000" w:rsidRDefault="00B07982">
      <w:pPr>
        <w:tabs>
          <w:tab w:val="left" w:pos="5255"/>
        </w:tabs>
        <w:spacing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«Фаталисте» судьбы двух героев (Печорина и Вулича) оказываются странным образом сопряженными: оба выживают в экстремальных ситуациях, но погибают по их завершении. </w:t>
      </w:r>
    </w:p>
    <w:p w:rsidR="00000000" w:rsidRDefault="00B07982">
      <w:pPr>
        <w:tabs>
          <w:tab w:val="left" w:pos="5255"/>
        </w:tabs>
        <w:spacing w:line="200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>Для главного героя роман</w:t>
      </w:r>
      <w:r>
        <w:rPr>
          <w:rFonts w:cs="Times New Roman"/>
        </w:rPr>
        <w:t>а М.Ю. Лермонтова концепт «судьба» является сквозным, разрабатывается в каждой повести посредством разных прагматических моделей, но именно в «Фаталисте» он обретает философский характер. Сказанным можно объяснить хронологические сбои в «биографии» Печорин</w:t>
      </w:r>
      <w:r>
        <w:rPr>
          <w:rFonts w:cs="Times New Roman"/>
        </w:rPr>
        <w:t>а. Повесть «Фаталист» замыкает роман и ставит вопрос – может ли человек изменить свою судьбу – но так и не дает на него однозначного ответа.</w:t>
      </w:r>
    </w:p>
    <w:p w:rsidR="00000000" w:rsidRDefault="00B07982">
      <w:pPr>
        <w:spacing w:line="100" w:lineRule="atLeast"/>
        <w:ind w:firstLine="709"/>
        <w:jc w:val="center"/>
        <w:rPr>
          <w:rStyle w:val="Hyperlink"/>
          <w:rFonts w:eastAsia="SimSun"/>
          <w:bCs/>
          <w:i/>
          <w:iCs/>
          <w:color w:val="auto"/>
          <w:u w:val="none"/>
          <w:lang w:val="ru-RU"/>
        </w:rPr>
      </w:pPr>
      <w:r>
        <w:rPr>
          <w:rFonts w:cs="Times New Roman"/>
        </w:rPr>
        <w:t>Литература</w:t>
      </w:r>
    </w:p>
    <w:p w:rsidR="00000000" w:rsidRDefault="00B07982">
      <w:pPr>
        <w:tabs>
          <w:tab w:val="left" w:pos="426"/>
        </w:tabs>
        <w:spacing w:line="100" w:lineRule="atLeast"/>
        <w:ind w:firstLine="709"/>
        <w:jc w:val="both"/>
        <w:rPr>
          <w:rStyle w:val="Hyperlink"/>
          <w:rFonts w:eastAsia="SimSun"/>
          <w:bCs/>
          <w:i/>
          <w:iCs/>
          <w:color w:val="auto"/>
          <w:u w:val="none"/>
          <w:lang w:val="ru-RU"/>
        </w:rPr>
      </w:pPr>
      <w:r>
        <w:rPr>
          <w:rStyle w:val="Hyperlink"/>
          <w:rFonts w:eastAsia="SimSun"/>
          <w:bCs/>
          <w:i/>
          <w:iCs/>
          <w:color w:val="auto"/>
          <w:u w:val="none"/>
          <w:lang w:val="ru-RU"/>
        </w:rPr>
        <w:t>Головин В.В., Николаев О.Р.</w:t>
      </w:r>
      <w:r>
        <w:rPr>
          <w:rStyle w:val="Hyperlink"/>
          <w:rFonts w:eastAsia="SimSun"/>
          <w:bCs/>
          <w:iCs/>
          <w:color w:val="auto"/>
          <w:u w:val="none"/>
          <w:lang w:val="ru-RU"/>
        </w:rPr>
        <w:t xml:space="preserve"> «Узелковое письмо» фольклоризма: прагматика литературно-фольклорного взаимод</w:t>
      </w:r>
      <w:r>
        <w:rPr>
          <w:rStyle w:val="Hyperlink"/>
          <w:rFonts w:eastAsia="SimSun"/>
          <w:bCs/>
          <w:iCs/>
          <w:color w:val="auto"/>
          <w:u w:val="none"/>
          <w:lang w:val="ru-RU"/>
        </w:rPr>
        <w:t xml:space="preserve">ействия в русских литературных текстах нового времени // Навстречу Третьему Всероссийскому конгрессу фольклористов. М., 2013.  С. 16-54. </w:t>
      </w:r>
    </w:p>
    <w:p w:rsidR="00000000" w:rsidRDefault="00B07982">
      <w:pPr>
        <w:tabs>
          <w:tab w:val="left" w:pos="426"/>
        </w:tabs>
        <w:spacing w:line="100" w:lineRule="atLeast"/>
        <w:ind w:firstLine="709"/>
        <w:jc w:val="both"/>
        <w:rPr>
          <w:rStyle w:val="Hyperlink"/>
          <w:rFonts w:eastAsia="SimSun"/>
          <w:bCs/>
          <w:i/>
          <w:iCs/>
          <w:color w:val="auto"/>
          <w:u w:val="none"/>
          <w:lang w:val="ru-RU"/>
        </w:rPr>
      </w:pPr>
      <w:r>
        <w:rPr>
          <w:rStyle w:val="Hyperlink"/>
          <w:rFonts w:eastAsia="SimSun"/>
          <w:bCs/>
          <w:i/>
          <w:iCs/>
          <w:color w:val="auto"/>
          <w:u w:val="none"/>
          <w:lang w:val="ru-RU"/>
        </w:rPr>
        <w:t>Лермонтов М.Ю.</w:t>
      </w:r>
      <w:r>
        <w:rPr>
          <w:rStyle w:val="Hyperlink"/>
          <w:rFonts w:eastAsia="SimSun"/>
          <w:bCs/>
          <w:iCs/>
          <w:color w:val="auto"/>
          <w:u w:val="none"/>
          <w:lang w:val="ru-RU"/>
        </w:rPr>
        <w:t xml:space="preserve"> Герой нашего времени </w:t>
      </w:r>
      <w:r>
        <w:rPr>
          <w:rStyle w:val="Strong"/>
          <w:rFonts w:cs="Times New Roman"/>
          <w:b w:val="0"/>
          <w:iCs/>
        </w:rPr>
        <w:t xml:space="preserve">// </w:t>
      </w:r>
      <w:r>
        <w:rPr>
          <w:rStyle w:val="Hyperlink"/>
          <w:rFonts w:eastAsia="SimSun"/>
          <w:bCs/>
          <w:iCs/>
          <w:color w:val="auto"/>
          <w:u w:val="none"/>
          <w:lang w:val="ru-RU"/>
        </w:rPr>
        <w:t>Сочинение в 6-ти т. / под ред. Н.Ф. Бельчикова и др.  М., 1957. Т. 6. Проза, пи</w:t>
      </w:r>
      <w:r>
        <w:rPr>
          <w:rStyle w:val="Hyperlink"/>
          <w:rFonts w:eastAsia="SimSun"/>
          <w:bCs/>
          <w:iCs/>
          <w:color w:val="auto"/>
          <w:u w:val="none"/>
          <w:lang w:val="ru-RU"/>
        </w:rPr>
        <w:t>сьма.</w:t>
      </w:r>
    </w:p>
    <w:p w:rsidR="00000000" w:rsidRDefault="00B07982">
      <w:pPr>
        <w:tabs>
          <w:tab w:val="left" w:pos="426"/>
        </w:tabs>
        <w:spacing w:line="100" w:lineRule="atLeast"/>
        <w:ind w:firstLine="709"/>
        <w:jc w:val="both"/>
        <w:rPr>
          <w:rStyle w:val="Emphasis"/>
          <w:rFonts w:eastAsia="Times New Roman" w:cs="Times New Roman"/>
          <w:bCs/>
          <w:i w:val="0"/>
        </w:rPr>
      </w:pPr>
      <w:r>
        <w:rPr>
          <w:rStyle w:val="Hyperlink"/>
          <w:rFonts w:eastAsia="SimSun"/>
          <w:bCs/>
          <w:i/>
          <w:iCs/>
          <w:color w:val="auto"/>
          <w:u w:val="none"/>
          <w:lang w:val="ru-RU"/>
        </w:rPr>
        <w:t>Никитина С.Е.</w:t>
      </w:r>
      <w:r>
        <w:rPr>
          <w:rStyle w:val="Hyperlink"/>
          <w:rFonts w:eastAsia="SimSun"/>
          <w:bCs/>
          <w:iCs/>
          <w:color w:val="auto"/>
          <w:u w:val="none"/>
          <w:lang w:val="ru-RU"/>
        </w:rPr>
        <w:t xml:space="preserve"> Концепт судьбы в русском народном сознании (на материале устно по - этических текстов) // Понятие судьбы в контексте разных культур / Науч. совет по истории мировой культуры. М., 1994. </w:t>
      </w:r>
    </w:p>
    <w:p w:rsidR="00000000" w:rsidRDefault="00B07982">
      <w:pPr>
        <w:tabs>
          <w:tab w:val="left" w:pos="426"/>
        </w:tabs>
        <w:spacing w:line="100" w:lineRule="atLeast"/>
        <w:ind w:firstLine="709"/>
        <w:jc w:val="both"/>
        <w:rPr>
          <w:rStyle w:val="Hyperlink"/>
          <w:rFonts w:eastAsia="SimSun"/>
          <w:bCs/>
          <w:i/>
          <w:iCs/>
          <w:color w:val="auto"/>
          <w:u w:val="none"/>
          <w:lang w:val="ru-RU"/>
        </w:rPr>
      </w:pPr>
      <w:r>
        <w:rPr>
          <w:rStyle w:val="Emphasis"/>
          <w:rFonts w:eastAsia="Times New Roman" w:cs="Times New Roman"/>
          <w:bCs/>
          <w:i w:val="0"/>
        </w:rPr>
        <w:t xml:space="preserve">Славянские древности. Этнолингвистический словарь </w:t>
      </w:r>
      <w:r>
        <w:rPr>
          <w:rStyle w:val="Emphasis"/>
          <w:rFonts w:eastAsia="Times New Roman" w:cs="Times New Roman"/>
          <w:bCs/>
          <w:i w:val="0"/>
        </w:rPr>
        <w:t>/ под общ. ред. Н.И. Толстого. М., 1995-2012.</w:t>
      </w:r>
    </w:p>
    <w:p w:rsidR="00000000" w:rsidRDefault="00B07982">
      <w:pPr>
        <w:tabs>
          <w:tab w:val="left" w:pos="426"/>
        </w:tabs>
        <w:spacing w:line="100" w:lineRule="atLeast"/>
        <w:ind w:firstLine="709"/>
        <w:jc w:val="both"/>
      </w:pPr>
      <w:r>
        <w:rPr>
          <w:rStyle w:val="Hyperlink"/>
          <w:rFonts w:eastAsia="SimSun"/>
          <w:bCs/>
          <w:i/>
          <w:iCs/>
          <w:color w:val="auto"/>
          <w:u w:val="none"/>
          <w:lang w:val="ru-RU"/>
        </w:rPr>
        <w:t>Хохлова А.Н.</w:t>
      </w:r>
      <w:r>
        <w:rPr>
          <w:rStyle w:val="Hyperlink"/>
          <w:rFonts w:eastAsia="SimSun"/>
          <w:bCs/>
          <w:iCs/>
          <w:color w:val="auto"/>
          <w:u w:val="none"/>
          <w:lang w:val="ru-RU"/>
        </w:rPr>
        <w:t xml:space="preserve"> Вербализация лексико-семантического поля «Судьба» в поэтических и прозаических текстах М.Ю. Лермонтова 1828–1839-х гг. // Russian Journal of Education and Psychology. 2013. № 10 (30). URL: https://</w:t>
      </w:r>
      <w:r>
        <w:rPr>
          <w:rStyle w:val="Hyperlink"/>
          <w:rFonts w:eastAsia="SimSun"/>
          <w:bCs/>
          <w:iCs/>
          <w:color w:val="auto"/>
          <w:u w:val="none"/>
          <w:lang w:val="ru-RU"/>
        </w:rPr>
        <w:t xml:space="preserve">cyberleninka.ru/article/n/verbalizatsiya-leksiko-semanticheskogo-polya-sudba-v-poeticheskih-i-prozaicheskih-tekstah-m-yu-lermontova-1828-1839-h-gg (дата обращения: 12.02.2024). </w:t>
      </w:r>
    </w:p>
    <w:sectPr w:rsidR="00000000">
      <w:pgSz w:w="11906" w:h="16838" w:orient="landscape"/>
      <w:pgMar w:top="1134" w:right="1417" w:bottom="1134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982"/>
    <w:rsid w:val="00B0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84DD2C4-9960-4B50-BD4C-9285B33F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val="ru-R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OpenSymbol"/>
      <w:bCs/>
      <w:i w:val="0"/>
      <w:iCs/>
      <w:caps w:val="0"/>
      <w:smallCaps w:val="0"/>
      <w:color w:val="auto"/>
      <w:lang w:val="ru-R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caps w:val="0"/>
      <w:smallCaps w:val="0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2">
    <w:name w:val="WW8Num2z2"/>
    <w:rPr>
      <w:rFonts w:ascii="Times New Roman" w:eastAsia="Times New Roman" w:hAnsi="Times New Roman" w:cs="Times New Roman"/>
    </w:rPr>
  </w:style>
  <w:style w:type="character" w:customStyle="1" w:styleId="WW8Num2z3">
    <w:name w:val="WW8Num2z3"/>
    <w:rPr>
      <w:rFonts w:ascii="Times New Roman" w:eastAsia="Times New Roman" w:hAnsi="Times New Roman" w:cs="Times New Roman"/>
    </w:rPr>
  </w:style>
  <w:style w:type="character" w:customStyle="1" w:styleId="WW8Num2z4">
    <w:name w:val="WW8Num2z4"/>
    <w:rPr>
      <w:rFonts w:ascii="Times New Roman" w:eastAsia="Times New Roman" w:hAnsi="Times New Roman" w:cs="Times New Roman"/>
    </w:rPr>
  </w:style>
  <w:style w:type="character" w:customStyle="1" w:styleId="WW8Num2z5">
    <w:name w:val="WW8Num2z5"/>
    <w:rPr>
      <w:rFonts w:ascii="Times New Roman" w:eastAsia="Times New Roman" w:hAnsi="Times New Roman" w:cs="Times New Roman"/>
    </w:rPr>
  </w:style>
  <w:style w:type="character" w:customStyle="1" w:styleId="WW8Num2z6">
    <w:name w:val="WW8Num2z6"/>
    <w:rPr>
      <w:rFonts w:ascii="Times New Roman" w:eastAsia="Times New Roman" w:hAnsi="Times New Roman" w:cs="Times New Roman"/>
    </w:rPr>
  </w:style>
  <w:style w:type="character" w:customStyle="1" w:styleId="WW8Num2z7">
    <w:name w:val="WW8Num2z7"/>
    <w:rPr>
      <w:rFonts w:ascii="Times New Roman" w:eastAsia="Times New Roman" w:hAnsi="Times New Roman" w:cs="Times New Roman"/>
    </w:rPr>
  </w:style>
  <w:style w:type="character" w:customStyle="1" w:styleId="WW8Num2z8">
    <w:name w:val="WW8Num2z8"/>
    <w:rPr>
      <w:rFonts w:ascii="Times New Roman" w:eastAsia="Times New Roman" w:hAnsi="Times New Roman" w:cs="Times New Roman"/>
    </w:rPr>
  </w:style>
  <w:style w:type="character" w:customStyle="1" w:styleId="a">
    <w:name w:val="Основной шрифт абзаца"/>
  </w:style>
  <w:style w:type="character" w:customStyle="1" w:styleId="1">
    <w:name w:val="Основной шрифт абзаца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Hyperlink">
    <w:name w:val="Hyperlink"/>
    <w:rPr>
      <w:rFonts w:ascii="Times New Roman" w:eastAsia="Times New Roman" w:hAnsi="Times New Roman" w:cs="Times New Roman"/>
      <w:color w:val="000080"/>
      <w:u w:val="single"/>
      <w:lang/>
    </w:rPr>
  </w:style>
  <w:style w:type="character" w:customStyle="1" w:styleId="a0">
    <w:name w:val="Маркеры списка"/>
    <w:rPr>
      <w:rFonts w:ascii="OpenSymbol" w:eastAsia="OpenSymbol" w:hAnsi="OpenSymbol" w:cs="OpenSymbol"/>
    </w:rPr>
  </w:style>
  <w:style w:type="character" w:customStyle="1" w:styleId="a1">
    <w:name w:val="Символ нумерации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customStyle="1" w:styleId="a2">
    <w:name w:val="Заголовок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  <w:rPr>
      <w:rFonts w:eastAsia="Times New Roman" w:cs="Times New Roman"/>
    </w:rPr>
  </w:style>
  <w:style w:type="paragraph" w:styleId="List">
    <w:name w:val="List"/>
    <w:basedOn w:val="BodyText"/>
    <w:rPr>
      <w:rFonts w:cs="Lucida Sans"/>
    </w:rPr>
  </w:style>
  <w:style w:type="paragraph" w:customStyle="1" w:styleId="a3">
    <w:name w:val="Название"/>
    <w:basedOn w:val="Normal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a4">
    <w:name w:val="Указатель"/>
    <w:basedOn w:val="Normal"/>
    <w:pPr>
      <w:suppressLineNumbers/>
    </w:pPr>
  </w:style>
  <w:style w:type="paragraph" w:customStyle="1" w:styleId="2">
    <w:name w:val="Заголовок2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0">
    <w:name w:val="Указатель2"/>
    <w:basedOn w:val="Normal"/>
    <w:pPr>
      <w:suppressLineNumbers/>
    </w:p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1">
    <w:name w:val="Указатель1"/>
    <w:basedOn w:val="Normal"/>
    <w:pPr>
      <w:suppressLineNumbers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4943</Characters>
  <Application>Microsoft Office Word</Application>
  <DocSecurity>4</DocSecurity>
  <Lines>41</Lines>
  <Paragraphs>11</Paragraphs>
  <ScaleCrop>false</ScaleCrop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cp:lastPrinted>1970-01-01T02:00:00Z</cp:lastPrinted>
  <dcterms:created xsi:type="dcterms:W3CDTF">2024-02-27T20:49:00Z</dcterms:created>
  <dcterms:modified xsi:type="dcterms:W3CDTF">2024-02-27T20:49:00Z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3979d942f7bf4931b190f9263f279846</vt:lpwstr>
  </property>
</Properties>
</file>