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Процесс оформления образа Тибета в русской картине мира (на основе употребления слова «Тибет» в НКРЯ)</w:t>
      </w:r>
    </w:p>
    <w:p>
      <w:pPr>
        <w:ind w:firstLine="4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Ло Сюе</w:t>
      </w:r>
    </w:p>
    <w:p>
      <w:pPr>
        <w:ind w:firstLine="4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аспирант 3-го года обучения</w:t>
      </w:r>
    </w:p>
    <w:p>
      <w:pPr>
        <w:ind w:firstLine="4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Московский Государственный Университет имени М.В. Ломоносова</w:t>
      </w:r>
    </w:p>
    <w:p>
      <w:pPr>
        <w:ind w:firstLine="4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Национальный корпус русского языка (НКРЯ) является хорошим источником словоупотреблений и одновременно инструментом для ее анализа. Мы использовали основной корпус НКРЯ для анализа употребления слова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Тибет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 18 века по сегодняшний день. Количество словоупотреблений показывает три так называемых «пика», приходящихся на 1740– 2000г.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Первый пик употребления слова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Тибет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конец 19-ого века. В конце 19-ого века Тибет является неизвестным для русских регионом. Оформлению образа Тибета помогает текстовая информация, исходящая из научных и торговых экспедиций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Большинство слов, сочетающихся со словом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Тибет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задают вектор движения в новую для россиян страну. Например,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контекстах частотны такие глаголы, как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идти, пойти, сходить, двинуться, отправиться, махнуть, ехать, проехать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Первоначальный план заключался в том, чтобы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сходить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 на Лоб-нор, обследовать, насколько возможно, это озеро и его окрестности, а затем вернуться в Кульджу, сдать здесь собранные коллекции и, забрав остальные запасы, двинуться в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Тибет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[Н. М. Пржевальский. От Кульджи за Тянь-Шань и на Лоб-Нор (1870)]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09"/>
        <w:jc w:val="both"/>
        <w:textAlignment w:val="auto"/>
        <w:rPr>
          <w:rFonts w:ascii="Times New Roman" w:hAnsi="Times New Roman"/>
          <w:bCs/>
          <w:iCs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val="ru-RU"/>
        </w:rPr>
        <w:t>Через Лоб-нор в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> 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  <w:lang w:val="ru-RU"/>
        </w:rPr>
        <w:t>Тибет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> </w:t>
      </w:r>
      <w:r>
        <w:rPr>
          <w:rFonts w:ascii="Times New Roman" w:hAnsi="Times New Roman"/>
          <w:bCs/>
          <w:i/>
          <w:color w:val="000000"/>
          <w:sz w:val="24"/>
          <w:szCs w:val="24"/>
          <w:lang w:val="ru-RU"/>
        </w:rPr>
        <w:t xml:space="preserve">нельзя </w:t>
      </w: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итти:</w:t>
      </w:r>
      <w:r>
        <w:rPr>
          <w:rFonts w:ascii="Times New Roman" w:hAnsi="Times New Roman"/>
          <w:bCs/>
          <w:i/>
          <w:color w:val="000000"/>
          <w:sz w:val="24"/>
          <w:szCs w:val="24"/>
          <w:lang w:val="ru-RU"/>
        </w:rPr>
        <w:t xml:space="preserve"> 1) нет верблюдов, 2) дурная дорога, 3) нет проводников, 4) не хватит сил вновь испытать все гадости. </w:t>
      </w:r>
      <w:r>
        <w:rPr>
          <w:rFonts w:ascii="Times New Roman" w:hAnsi="Times New Roman"/>
          <w:bCs/>
          <w:iCs/>
          <w:color w:val="000000"/>
          <w:sz w:val="24"/>
          <w:szCs w:val="24"/>
          <w:lang w:val="ru-RU"/>
        </w:rPr>
        <w:t>[Н. М. Пржевальский. От Кульджи за Тянь-Шань и на Лоб-Нор (1870)]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textAlignment w:val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Будем лечиться, а затем в половине февраля опять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махнём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в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Тибет.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[Н. М. Пржевальский. Путь по Джунгарии (Из полевого дневника) (1877)]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09"/>
        <w:jc w:val="both"/>
        <w:textAlignment w:val="auto"/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Богдыхан велел его арестовать, но Кутухта ушел из-под ареста и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отправился</w:t>
      </w:r>
      <w:r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 в Тибет.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[М. А. Лялина. Путешествия H. М. Пржевальского в восточной и центральной Азии (1891)].</w:t>
      </w:r>
      <w:r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09"/>
        <w:jc w:val="both"/>
        <w:textAlignment w:val="auto"/>
        <w:rPr>
          <w:rFonts w:ascii="Times New Roman" w:hAnsi="Times New Roman"/>
          <w:bCs/>
          <w:iCs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 то же время Тибет является загадочным, малоизвестным: </w:t>
      </w:r>
      <w:r>
        <w:rPr>
          <w:rFonts w:ascii="Times New Roman" w:hAnsi="Times New Roman"/>
          <w:bCs/>
          <w:i/>
          <w:color w:val="000000"/>
          <w:sz w:val="24"/>
          <w:szCs w:val="24"/>
          <w:lang w:val="ru-RU"/>
        </w:rPr>
        <w:t xml:space="preserve">Мы идем исследовать </w:t>
      </w: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неведомый</w:t>
      </w:r>
      <w:r>
        <w:rPr>
          <w:rFonts w:ascii="Times New Roman" w:hAnsi="Times New Roman"/>
          <w:bCs/>
          <w:i/>
          <w:color w:val="000000"/>
          <w:sz w:val="24"/>
          <w:szCs w:val="24"/>
          <w:lang w:val="ru-RU"/>
        </w:rPr>
        <w:t xml:space="preserve"> Тибет, сделать его достоянием науки.</w:t>
      </w:r>
      <w:r>
        <w:rPr>
          <w:rFonts w:ascii="Times New Roman" w:hAnsi="Times New Roman"/>
          <w:bCs/>
          <w:iCs/>
          <w:color w:val="000000"/>
          <w:sz w:val="24"/>
          <w:szCs w:val="24"/>
          <w:lang w:val="ru-RU"/>
        </w:rPr>
        <w:t xml:space="preserve"> [Н. М. Пржевальский. От Кяхты на истоки Желтой реки (1884-1885)].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09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Второй пик словоупотребления приходится на 1926 г. В это время знание русских людей о Тибете стало более глубоким в аспектах религии и туризма, описание Тибета становится более детальным. Появляются подробные описания географического положения Тибета, например, в Географическом дневнике Тибетской экспедиции П. К. Козлов использует прилагательные </w:t>
      </w:r>
      <w:r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далёкий, дикий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для описания Тибета, упоминаются ущелья, реки, водопады и другие приметы местности: </w:t>
      </w:r>
      <w:r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Подобно Н. М. Пржевальскому, я восхищаюсь Гань-су, но более того можно восхищаться дивной красотой ущелий с гремучими, быстрыми речками, их водопадами, их лужайками, лесом, под сенью которого разгуливают белые ушастые фазаны, зеленые всэре, куланы, где раздаются голоса всевозможных небольших и мелких птиц — это все Восточный Тибет, или Кам, о котором, как равно и о Сычуане, всегда мечтал мой незабвенный учитель, глубоко любивший и глубоко понимавший красоту и жизнь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дикой, девственной</w:t>
      </w:r>
      <w:r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 природы Центральной Азии и далекого Тибета.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[П. К. Козлов. Географический дневник Тибетской экспедиции 1923-1926 гг. №4 (1925-1926)]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09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Он лучше всех знает не только нашу Монголию, но и Западный Китай, Восточный Туркестан и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далекий</w:t>
      </w:r>
      <w:r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 Тибет.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[П. К. Козлов. Географический дневник Тибетской экспедиции 1923-1926 гг. №5 (1926)]</w:t>
      </w:r>
    </w:p>
    <w:p>
      <w:pPr>
        <w:pStyle w:val="2"/>
        <w:keepNext w:val="0"/>
        <w:keepLines w:val="0"/>
        <w:pageBreakBefore w:val="0"/>
        <w:widowControl/>
        <w:tabs>
          <w:tab w:val="left" w:pos="21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09"/>
        <w:jc w:val="both"/>
        <w:textAlignment w:val="auto"/>
        <w:rPr>
          <w:rFonts w:ascii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 время третьего пика словоупотребления (2009г.) с</w:t>
      </w:r>
      <w:r>
        <w:rPr>
          <w:rFonts w:ascii="Times New Roman" w:hAnsi="Times New Roman" w:eastAsia="Times New Roman"/>
          <w:sz w:val="24"/>
          <w:szCs w:val="24"/>
          <w:lang w:val="ru-RU"/>
        </w:rPr>
        <w:t xml:space="preserve"> непрерывным развитием и популяризацией тибетской культуры в России всё больше внимания уделяется описанию образа Тибета, и работ, посвященных Тибету, рекламы тибетских клиник, текстов тревел-блогов о Тибете становится всё больше. Например, п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онимание Тибета как страны, где может открыться высшая истина, можно увидеть в тексте по таким выражениями, как </w:t>
      </w:r>
      <w:r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высшая правда, сладострастная неизвестность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Кумир и покровитель Абиха — Блюмкин, страшный человек, любовник революции, еретик, исполненный брутальной похоти и самозванства — наравне с яростным стремленьем к 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val="ru-RU"/>
        </w:rPr>
        <w:t>высшей правде, сладострастная неизвестность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которой привела его и на </w:t>
      </w:r>
      <w:r>
        <w:rPr>
          <w:rFonts w:ascii="Times New Roman" w:hAnsi="Times New Roman"/>
          <w:bCs/>
          <w:i/>
          <w:color w:val="000000"/>
          <w:sz w:val="24"/>
          <w:szCs w:val="24"/>
          <w:lang w:val="ru-RU"/>
        </w:rPr>
        <w:t>Тибет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и к исмаэлитам, и в Палестину…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[Александр Иличевский. Перс (2009)]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09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Кроме того, в текстах обнаруживается упоминание о политике, так как в это время в Тибет отправляется особая миссия, об этом свидетельствуют существительные </w:t>
      </w:r>
      <w:r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миссия, министры, армия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  <w:r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Только после этого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миссия</w:t>
      </w:r>
      <w:r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 пошла дальше через Тибет и Уйгурию в Россию.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[Владимир Полеванов. За убегающим горизонтом шамбалы // «Наука и жизнь», 2009]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09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О том, какие сведения добыла эта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миссия</w:t>
      </w:r>
      <w:r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, можно судить по заголовкам отчёта Хомутникова в НКВД: «Далай-лама и его настроения», «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министры</w:t>
      </w:r>
      <w:r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 далай-ламы», «Тибет и Англия», «Тибет и Китай», «Тибетская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 xml:space="preserve"> армия</w:t>
      </w:r>
      <w:r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» и так далее.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[Владимир Полеванов. За убегающим горизонтом шамбалы // «Наука и жизнь», 2009]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09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eastAsia="Times New Roman"/>
          <w:sz w:val="24"/>
          <w:szCs w:val="24"/>
          <w:lang w:val="ru-RU"/>
        </w:rPr>
        <w:t xml:space="preserve">Таким образом, три пика употребления слова </w:t>
      </w:r>
      <w:r>
        <w:rPr>
          <w:rFonts w:ascii="Times New Roman" w:hAnsi="Times New Roman" w:eastAsia="Times New Roman"/>
          <w:i/>
          <w:iCs/>
          <w:sz w:val="24"/>
          <w:szCs w:val="24"/>
          <w:lang w:val="ru-RU"/>
        </w:rPr>
        <w:t>Тибет</w:t>
      </w:r>
      <w:r>
        <w:rPr>
          <w:rFonts w:ascii="Times New Roman" w:hAnsi="Times New Roman" w:eastAsia="Times New Roman"/>
          <w:sz w:val="24"/>
          <w:szCs w:val="24"/>
          <w:lang w:val="ru-RU"/>
        </w:rPr>
        <w:t xml:space="preserve"> показывают развитие образа Тибета в русской языковой картине мира. С</w:t>
      </w:r>
      <w:r>
        <w:rPr>
          <w:rFonts w:ascii="Times New Roman" w:hAnsi="Times New Roman"/>
          <w:sz w:val="24"/>
          <w:szCs w:val="24"/>
          <w:lang w:val="ru-RU"/>
        </w:rPr>
        <w:t xml:space="preserve">огласно трём пикам употребления слова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Тибет</w:t>
      </w:r>
      <w:r>
        <w:rPr>
          <w:rFonts w:ascii="Times New Roman" w:hAnsi="Times New Roman"/>
          <w:sz w:val="24"/>
          <w:szCs w:val="24"/>
          <w:lang w:val="ru-RU"/>
        </w:rPr>
        <w:t xml:space="preserve"> в национальном корпусе русского языка можно выделить три характерных образа Тибета: загадочный, мистический и реалистичный.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Изменение образа Тибета отражает развитие знаний русского человека о Тибете.</w:t>
      </w:r>
    </w:p>
    <w:p>
      <w:pPr>
        <w:pStyle w:val="2"/>
        <w:widowControl/>
        <w:spacing w:beforeAutospacing="0" w:afterAutospacing="0"/>
        <w:ind w:firstLine="42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>
      <w:pPr>
        <w:pStyle w:val="2"/>
        <w:widowControl/>
        <w:spacing w:beforeAutospacing="0" w:afterAutospacing="0"/>
        <w:ind w:firstLine="4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Список литературы</w:t>
      </w:r>
    </w:p>
    <w:p>
      <w:pPr>
        <w:numPr>
          <w:ilvl w:val="0"/>
          <w:numId w:val="1"/>
        </w:numPr>
        <w:ind w:left="0" w:firstLine="4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Александр Иличевский. Перс, 2009.</w:t>
      </w:r>
    </w:p>
    <w:p>
      <w:pPr>
        <w:numPr>
          <w:ilvl w:val="0"/>
          <w:numId w:val="1"/>
        </w:numPr>
        <w:ind w:left="0" w:firstLine="4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Владимир Полеванов. За убегающим горизонтом шамбалы // «Наука и жизнь», 2009.</w:t>
      </w:r>
    </w:p>
    <w:p>
      <w:pPr>
        <w:numPr>
          <w:ilvl w:val="0"/>
          <w:numId w:val="1"/>
        </w:numPr>
        <w:ind w:left="0" w:firstLine="4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Лялина.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М. А. Путешествия H. М. Пржевальского в восточной и центральной Азии, 1891.</w:t>
      </w:r>
    </w:p>
    <w:p>
      <w:pPr>
        <w:pStyle w:val="2"/>
        <w:widowControl/>
        <w:numPr>
          <w:ilvl w:val="0"/>
          <w:numId w:val="1"/>
        </w:numPr>
        <w:spacing w:beforeAutospacing="0" w:afterAutospacing="0"/>
        <w:ind w:left="0" w:firstLine="4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Пржевальский.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Н. М. Путь по Джунгарии (Из полевого дневника), 1877.</w:t>
      </w:r>
    </w:p>
    <w:p>
      <w:pPr>
        <w:pStyle w:val="2"/>
        <w:widowControl/>
        <w:numPr>
          <w:ilvl w:val="0"/>
          <w:numId w:val="1"/>
        </w:numPr>
        <w:spacing w:beforeAutospacing="0" w:afterAutospacing="0"/>
        <w:ind w:left="0" w:firstLine="4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Пржевальский.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Н. М.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От Кульджи за Тянь-Шань и на Лоб-Нор, 1870.</w:t>
      </w:r>
    </w:p>
    <w:p>
      <w:pPr>
        <w:pStyle w:val="2"/>
        <w:widowControl/>
        <w:numPr>
          <w:ilvl w:val="0"/>
          <w:numId w:val="1"/>
        </w:numPr>
        <w:spacing w:beforeAutospacing="0" w:afterAutospacing="0"/>
        <w:ind w:left="0" w:firstLine="4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Пржевальский.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Н. М.</w:t>
      </w:r>
      <w:r>
        <w:rPr>
          <w:rFonts w:ascii="Times New Roman" w:hAnsi="Times New Roman"/>
          <w:bCs/>
          <w:iCs/>
          <w:color w:val="000000"/>
          <w:sz w:val="24"/>
          <w:szCs w:val="24"/>
          <w:lang w:val="ru-RU"/>
        </w:rPr>
        <w:t xml:space="preserve"> От Кяхты на истоки Желтой реки (1884-1885)</w:t>
      </w:r>
    </w:p>
    <w:p>
      <w:pPr>
        <w:numPr>
          <w:ilvl w:val="0"/>
          <w:numId w:val="1"/>
        </w:numPr>
        <w:ind w:left="0" w:firstLine="4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Козлов.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П. К. Географический дневник Тибетской экспедиции 1923-1926 гг. №4, 1925-1926.</w:t>
      </w:r>
    </w:p>
    <w:p>
      <w:pPr>
        <w:numPr>
          <w:ilvl w:val="0"/>
          <w:numId w:val="1"/>
        </w:numPr>
        <w:ind w:left="0" w:firstLine="420"/>
        <w:jc w:val="left"/>
        <w:rPr>
          <w:rFonts w:ascii="Times New Roman" w:hAnsi="Times New Roman"/>
          <w:bCs/>
          <w:i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Национальный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корпус русского языка: 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ru-RU"/>
        </w:rPr>
        <w:t>https://ruscorpora.ru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6B4A5"/>
    <w:multiLevelType w:val="singleLevel"/>
    <w:tmpl w:val="FFF6B4A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4A2F7"/>
    <w:rsid w:val="00176256"/>
    <w:rsid w:val="00327289"/>
    <w:rsid w:val="00810A7A"/>
    <w:rsid w:val="008A5A94"/>
    <w:rsid w:val="0093708C"/>
    <w:rsid w:val="009A2E99"/>
    <w:rsid w:val="00A0453F"/>
    <w:rsid w:val="1FEF490D"/>
    <w:rsid w:val="2D4F623F"/>
    <w:rsid w:val="46FF471F"/>
    <w:rsid w:val="5EE7A79D"/>
    <w:rsid w:val="66F4A2F7"/>
    <w:rsid w:val="7B7EC878"/>
    <w:rsid w:val="EFA9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788</Words>
  <Characters>4824</Characters>
  <Lines>98</Lines>
  <Paragraphs>31</Paragraphs>
  <TotalTime>0</TotalTime>
  <ScaleCrop>false</ScaleCrop>
  <LinksUpToDate>false</LinksUpToDate>
  <CharactersWithSpaces>5581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2024-02-17T10:05:00Z</dcterms:created>
  <dc:creator>采蘑菇滴小菇凉</dc:creator>
  <cp:lastModifiedBy>采蘑菇滴小菇凉</cp:lastModifiedBy>
  <dcterms:modified xsi:type="dcterms:W3CDTF">2024-02-17T02:29:53Z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20A7B687855101D18633CF65FA05B767_41</vt:lpwstr>
  </property>
</Properties>
</file>