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Употребление личных местоимений с основами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в дательном падеже при инфинитиве в памятниках деловой письменности XV 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Оборина Полина Павловна</w:t>
      </w:r>
    </w:p>
    <w:p w:rsidR="00000000" w:rsidDel="00000000" w:rsidP="00000000" w:rsidRDefault="00000000" w:rsidRPr="00000000" w14:paraId="00000003">
      <w:pPr>
        <w:spacing w:after="12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докладе рассматривается употребление возвратных местоимений в конструкциях Д. п. при инфинитиве с разными основами для разграничения субъектов в памятниках деловой письменности XV в. Материалом исследования послужили духовные и договорные грамоты по изданиям  [Пам. Ряз. 1978] и [Духовные и договорные грамоты великих и удельных князей XIV-XVI вв. 1950]. В скобках рядом с примерами указано издание, из которого пример взят, номер текста и время его написания. В обоих изданиях отсутствует точная локализация памятников, поэтому сопоставление употребления местоимений с современными диалектными данными не даст результата. </w:t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Исходная система косвенных падежей местоимений 2-го лица и возвратного восстанавливается следующим образом: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2625"/>
        <w:gridCol w:w="2625"/>
        <w:tblGridChange w:id="0">
          <w:tblGrid>
            <w:gridCol w:w="1425"/>
            <w:gridCol w:w="2625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Р. п.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тебе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себе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 п.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тобѣ, 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собѣ, си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п.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202122"/>
                <w:sz w:val="24"/>
                <w:szCs w:val="24"/>
                <w:rtl w:val="0"/>
              </w:rPr>
              <w:t xml:space="preserve">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202122"/>
                <w:sz w:val="24"/>
                <w:szCs w:val="24"/>
                <w:rtl w:val="0"/>
              </w:rPr>
              <w:t xml:space="preserve">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п.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тобѣ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собѣ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тобою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собою</w:t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обоих местоимений в Д.-М. пп. в исходной системе в основе был корневой гласный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-о-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тобѣ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в то время как в Р. п. (а после распада системы энклитик и в В. п.) - корневой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-е-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тебе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себе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 Таким образом, в разных падежах были разные основы. </w:t>
      </w:r>
    </w:p>
    <w:p w:rsidR="00000000" w:rsidDel="00000000" w:rsidP="00000000" w:rsidRDefault="00000000" w:rsidRPr="00000000" w14:paraId="0000001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Систему личных местоимений затронул процесс унификации основ, который мог завершиться с разным результатом: в пользу корневого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-е-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корневого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-о-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так что выравнивание основ могло идти по Р.-В. пп. или по Д.-М. пп. Однако процесс изменений шел постепенно, и во время его протекания разные основы местоимений могли употребляться одновременно и конкурировать. Во многих памятниках деловой письменности обнаруживаются оба варианта основ, и их распределение может зависеть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различных факторов, притом необязательно основа местоимения 2-го л. будет параллельна основе возвратного.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духовных и договорных грамот есть те, которые заслуживают отдельного внимания. В них обе основы в Д.-М. пп. встречаются в одинаковых контекстах, а именно в конструкции Д. п. субъекта при инфинитиве, в рамках одной грамоты, однако речь в этих контекстах идёт разных лицах. Это дает возможность предположить, что некоторые писцы использовали разные основы возвратного местоимения, чтобы подчеркнуть разграничение между субъектами, к которым относятся одинаковые ситуации.</w:t>
      </w:r>
    </w:p>
    <w:p w:rsidR="00000000" w:rsidDel="00000000" w:rsidP="00000000" w:rsidRDefault="00000000" w:rsidRPr="00000000" w14:paraId="0000001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начала процесса изменений в системе личных местоимений подобное разграничение не встречается. Например, в грамотах XIV в. обнаружено последовательное употребление основы возвратного местоимения с корневым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при описании одинаковых ситуаций. Например,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намъ ихъ 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не приимати, а тобѣ… 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его не приимати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([Духовные и договорные грамоты великих и удельных князей XIV-XVI вв. 1950], 2, около 1350-1351 гг.) Разграничение субъектов с помощью разных основ обнаружено только в текстах XV в.: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имѣти ти мене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братаниче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а сну твоему кнзю васи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ю 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а сну твоему кнзю Дмирею и кнзю Дмирею имѣти и мене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стариши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([Пам. Ряз. 1978], 55, 1434 г.),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имѣти ми тобѧ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имѣти ему менѧ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себѣ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имѣти им менѧ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дѧдею, имѣти ему менѧ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дѧдею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([Духовные и договорные грамоты великих и удельных князей XIV-XVI вв. 1950], 30а, 1433 г.). Иногда разграничение субъектов непоследовательно. Например, в начале грамоты разграничение встречается: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имѣти 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имѣти ему менѧ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братаниче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имѣти им менѧ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([Духовные и договорные грамоты великих и удельных князей XIV-XVI вв. 1950], 27, 1433)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в том же тексте снова встречается описание одной ситуации, относящейся к разным лицам, но уже без разграничения: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ѣ имати с своеи ω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чины да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(ь)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 мнѣ со свое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(о) удѣла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да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(ь) имати.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Почти все из найденных грамот с разграничением субъекта были созданы в 1430-е г., однако есть одна грамота, созданная позже: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дръжати ти гне менѧ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молодшим. а мнѣ тебѧ свое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гна велико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кнзѧ держати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([Пам. Ряз. 1978], 7, 1496 г.). </w:t>
      </w:r>
    </w:p>
    <w:p w:rsidR="00000000" w:rsidDel="00000000" w:rsidP="00000000" w:rsidRDefault="00000000" w:rsidRPr="00000000" w14:paraId="0000001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Стоит отметить, что в большинстве рассматриваемых памятников разные основы возвратного местоимения соседствуют с последовательным употреблением основы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местоимения 2-го л. в Д.-М. пп. Например,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 хто буде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тобѣ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дру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то и мнѣ дру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 твоеи бра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(ь)и блюсти, самому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всѣсти на ко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(ь)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имѣти 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имѣти ему менѧ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братаниче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([Духовные и договорные грамоты великих и удельных князей XIV-XVI вв. 1950], 27, 1433 г). В самой поздней грамоте с разграничением субъектов основа местоимения 2-го лица в Д.-М. пп. уже употребляется в обоих вариантах: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тебѣ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хотѣти добра мнѣ,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тебѣ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учинити,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тобѣ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 въступати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не купити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([Пам. Ряз. 1978], 7, 1496 г.). </w:t>
      </w:r>
    </w:p>
    <w:p w:rsidR="00000000" w:rsidDel="00000000" w:rsidP="00000000" w:rsidRDefault="00000000" w:rsidRPr="00000000" w14:paraId="0000001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среди памятников деловой письменности XV в. выделяются несколько грамот, большинство из которых написано примерно в одно время, со схожими особенностями: разграничением субъектов в конструкциях с Д. п. при инфинитиве (не всегда последовательное) и употреблением в Д. п. основы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тоб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местоимения 2-го л. (кроме грамоты 7 [Пам. Ряз. 1978], написанной позже остальных). </w:t>
      </w:r>
    </w:p>
    <w:p w:rsidR="00000000" w:rsidDel="00000000" w:rsidP="00000000" w:rsidRDefault="00000000" w:rsidRPr="00000000" w14:paraId="0000001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F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Пам. Ряз. 1978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Памятники русской письменности XV-XVI вв. : Рязанский край  / Подгот. С.И. Котков, И.С. Филиппова ; Под ред. С.И. Коткова М.: Наука, 1978.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Духовные и договорные грамоты великих и удельных князей XIV-XVI вв. 1950 – Д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уховные и договорные грамоты великих и удельных князей XIV-XVI вв. / Подгот. к печати Л.В. Черепнин.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М.; Л.: Изд-во Акад. наук СССР, 1950.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6">
    <w:name w:val="annotation reference"/>
    <w:basedOn w:val="a0"/>
    <w:uiPriority w:val="99"/>
    <w:semiHidden w:val="1"/>
    <w:unhideWhenUsed w:val="1"/>
    <w:rsid w:val="00145E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145E4F"/>
    <w:pPr>
      <w:spacing w:line="240" w:lineRule="auto"/>
    </w:pPr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 w:val="1"/>
    <w:rsid w:val="00145E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145E4F"/>
    <w:rPr>
      <w:b w:val="1"/>
      <w:bCs w:val="1"/>
    </w:rPr>
  </w:style>
  <w:style w:type="character" w:styleId="aa" w:customStyle="1">
    <w:name w:val="Тема примечания Знак"/>
    <w:basedOn w:val="a8"/>
    <w:link w:val="a9"/>
    <w:uiPriority w:val="99"/>
    <w:semiHidden w:val="1"/>
    <w:rsid w:val="00145E4F"/>
    <w:rPr>
      <w:b w:val="1"/>
      <w:bCs w:val="1"/>
      <w:sz w:val="20"/>
      <w:szCs w:val="20"/>
    </w:rPr>
  </w:style>
  <w:style w:type="paragraph" w:styleId="ab">
    <w:name w:val="Balloon Text"/>
    <w:basedOn w:val="a"/>
    <w:link w:val="ac"/>
    <w:uiPriority w:val="99"/>
    <w:semiHidden w:val="1"/>
    <w:unhideWhenUsed w:val="1"/>
    <w:rsid w:val="00145E4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145E4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bmgu.ru/order/storing.aspx?uid=c1cd87fb-d5ca-4cb0-8899-fc6e771b9a28&amp;cat=book&amp;db=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rQ3UkIaXsoipRS7zQazbj3Yi4A==">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2024-02-14T10:25:00Z</dcterms:created>
  <dc:creator>Елена Галинская</dc:creator>
</cp:coreProperties>
</file>