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5164" w:rsidRPr="00501E8C" w:rsidRDefault="00000000" w:rsidP="002058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Художественное пространство в лирическом цикле Д.С. Самойлова «Марине Цветаевой»</w:t>
      </w:r>
    </w:p>
    <w:p w14:paraId="00000002" w14:textId="77777777" w:rsidR="00AB5164" w:rsidRPr="00AB4A03" w:rsidRDefault="00000000" w:rsidP="002058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Семенова Марина Викторовна</w:t>
      </w:r>
    </w:p>
    <w:p w14:paraId="00000003" w14:textId="77777777" w:rsidR="00AB5164" w:rsidRDefault="00000000" w:rsidP="002058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Студентка Тюменского государственного университета, Тюмень, Россия</w:t>
      </w:r>
    </w:p>
    <w:p w14:paraId="77FF5852" w14:textId="77777777" w:rsidR="00332FC2" w:rsidRPr="00AB4A03" w:rsidRDefault="00332FC2" w:rsidP="002058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536AB1D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Цикл Давида Самойлова «Марине Цветаевой» [здесь и далее Самойлов: 453-455] состоит из трех стихотворений («Много слов о тебе говорилось…», «Марина, Марина…» и «Назначенье поэта…»), написанных в 1947 году, через шесть лет после смерти Цветаевой. Адресат цикла </w:t>
      </w:r>
      <w:r w:rsidR="002058D1" w:rsidRPr="002058D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не сама поэтесса, а ее образ, сохранившийся в культуре. Именно он связывает тексты в цикл, как и художественное пространство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неотделимое от данного образа.</w:t>
      </w:r>
    </w:p>
    <w:p w14:paraId="00000006" w14:textId="3793103D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«Много слов о тебе говорилось. / Я хочу, чтобы ты повторилась!» </w:t>
      </w:r>
      <w:bookmarkStart w:id="0" w:name="_Hlk160021788"/>
      <w:r w:rsidR="00AB4A03" w:rsidRPr="00AB4A03">
        <w:rPr>
          <w:rFonts w:ascii="Times New Roman" w:eastAsia="Times New Roman" w:hAnsi="Times New Roman" w:cs="Times New Roman"/>
          <w:sz w:val="24"/>
          <w:szCs w:val="24"/>
        </w:rPr>
        <w:t>—</w:t>
      </w:r>
      <w:bookmarkEnd w:id="0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так начинается первое стихотворение цикла: графически эти строки отличаются от остальных, они составляют строфу. В них заявляется главная тема как стихотворения, так и всего цикла </w:t>
      </w:r>
      <w:r w:rsidR="00AB4A03" w:rsidRP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тема поэтического возрождения, бессмертия. Важно, что первое предложение построено в прошедшем времени («говорилось»), второе </w:t>
      </w:r>
      <w:r w:rsidR="00AB4A03" w:rsidRP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в настоящем («хочу») с намерением, распространяющимся на будущее. 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щ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не названная Марина</w:t>
      </w:r>
      <w:r w:rsidRPr="00AB4A03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существует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в том времени, что и лирический герой. В связи с этим возникает мотив незнания («Как жила ты, того не ведаю»), что существенно отражается в общем тоне стихотворения. «Много слов…» </w:t>
      </w:r>
      <w:r w:rsidR="00AB4A03" w:rsidRPr="00AB4A03">
        <w:rPr>
          <w:rFonts w:ascii="Times New Roman" w:eastAsia="Times New Roman" w:hAnsi="Times New Roman" w:cs="Times New Roman"/>
          <w:sz w:val="24"/>
          <w:szCs w:val="24"/>
        </w:rPr>
        <w:t>— это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текст-догадка, отсюда у Самойлова блоки вопросительных (строфы 3-5) и описательных конструкций («Но не так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как &lt;…&gt;», строфа 2, «Ты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&lt;…&gt; Между нами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&lt;…&gt;», строфы 6-8). При их помощи, во-первых, вводится противопоставление «поэтесса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="00501E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лирический субъект», а во-вторых, создается «галерея» пространственных элементов (около 13 наименований), большинство из которых являются неконкретными, абстрактными (пустоты лестниц, </w:t>
      </w:r>
      <w:r w:rsidR="00332FC2">
        <w:rPr>
          <w:rFonts w:ascii="Times New Roman" w:eastAsia="Times New Roman" w:hAnsi="Times New Roman" w:cs="Times New Roman"/>
          <w:sz w:val="24"/>
          <w:szCs w:val="24"/>
          <w:lang w:val="ru-RU"/>
        </w:rPr>
        <w:t>полюсы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, чаща). Даже топонимы в этом стихотворении сосредоточены в вопросительной конструкции («В какой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парижской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яме / Бредила ты о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России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?»).</w:t>
      </w:r>
    </w:p>
    <w:p w14:paraId="00000007" w14:textId="1FE2B80C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Третье стихотворение цикла («Назначенье поэта…») коррелирует по характеру выбора пространственных элементов с первым. Однако масштаб этих элементов значительно расширяется, становится всеобъемлющим (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мир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затихший, 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кие гости), почти космическим («Ты, Марина,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комета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» = в космическом, небесном пространстве). Если в первом стихотворении обилие неконкретных пространств было обусловлено вопросительным, догадывающимся модусом, то в последнем стихотворении абстрактные пространства возникают для выражения идеи мирового культурного единения: «Ты еще повторишься — / &lt;…&gt; как в песнях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парижских / И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московских людей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» = всех людей.</w:t>
      </w:r>
    </w:p>
    <w:p w14:paraId="00000008" w14:textId="23922B8F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В центральном звене цикла («Марина, Марина…») морское пространство формируется из значения имени, происходящего от латинского «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marīnus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332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переводе на русский «морской». Лексика этого текста изобилует словами, тематически связанными с морем (трюм, парус, снасти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т.д.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>). На глазах читателя из имени возводится, конструируется целый мир, так в самойловском цикле провозглашается символистская идея о силе слова. Неслучайно А. Белый писал: «Язык — наиболее могущественное орудие творчества. Когда я называю словом предмет, я утверждаю его существование» [Белый: 316]. Так цикл Самойлова принимает форму текста, в котором конструируется образ поэтессы, где Цветаева не просто когда-то возвратится, возродится: она уже возрождается в каждом последующем слове цикла.</w:t>
      </w:r>
    </w:p>
    <w:p w14:paraId="00000009" w14:textId="0212E689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Обилие неконкретных пространственных элементов у Самойлова сопряжено в каждом тексте с топонимами (Россия, Бретань, Кама и т.д.). Автором формируется пространственная оппозиция свое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чужое. Заявленная в первом стихотворении (чужое </w:t>
      </w:r>
      <w:r w:rsidR="00656F6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«парижская яма», свое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Россия), к середине цикла она трансформируется (происходит «братанье» русского с Францией), а в финале свое и чужое сливаются воедино: «в песнях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парижских / И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A03">
        <w:rPr>
          <w:rFonts w:ascii="Times New Roman" w:eastAsia="Times New Roman" w:hAnsi="Times New Roman" w:cs="Times New Roman"/>
          <w:b/>
          <w:sz w:val="24"/>
          <w:szCs w:val="24"/>
        </w:rPr>
        <w:t>московских людей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». Именно в песнях (т.е. в слове) как в элементе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культуры, по мысли Самойлова, должно сформироваться человеческое единство. Возвращение в третьем стихотворении к пространственным образам из начала цикла позволяет автору создать композиционное кольцо и изобразить изменение, произошедшее с лирическим субъектом. Если в тексте «Много слов о тебе говорилось…» он хочет, чтобы поэтесса «повторилась», то в «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Назначеньи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поэта…» субъект смело утверждает ее возвращение, поэтическое бессмертие. </w:t>
      </w:r>
    </w:p>
    <w:p w14:paraId="0000000A" w14:textId="411B3EE8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>Идея поэтического бессмертия исходит из взгляда Самойлова как поэта-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неоакмеиста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на культуру. Образ Цветаевой становится символом ушедшего Серебряного века, однако в поэтическом мире автора культура имеет 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надвременной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характер бытия [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Лейдерман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, Липовецкий: 306], поэтому лирический субъект цикла так уверен в возвращении поэтессы. По мысли Н. 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Лейдермана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, «Для многих поэтов 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неоакмеизма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&lt;…&gt; характерно утверждение нераздельности природы и культуры» [Там же: 299], и цикл «Марине Цветаевой» тому подтверждение. В первом стихотворении формируется образ дождя, который проходит модификацию от только-только зачинающейся тучи («облако покоряется // Водам душным») до «кипящего ливня»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поэзии. Природное явление (метафора культуры) становится фактором, объединяющим лирического субъекта и Марину. </w:t>
      </w:r>
    </w:p>
    <w:p w14:paraId="0000000B" w14:textId="10D0E8B1" w:rsidR="00AB5164" w:rsidRPr="00AB4A03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Однако 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пространственно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они оказываются разъединены. Мотив границы</w:t>
      </w:r>
      <w:r w:rsidR="00AB4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вводится в начале цикла. Наблюдается </w:t>
      </w:r>
      <w:proofErr w:type="spellStart"/>
      <w:r w:rsidRPr="00AB4A03">
        <w:rPr>
          <w:rFonts w:ascii="Times New Roman" w:eastAsia="Times New Roman" w:hAnsi="Times New Roman" w:cs="Times New Roman"/>
          <w:sz w:val="24"/>
          <w:szCs w:val="24"/>
        </w:rPr>
        <w:t>буквализация</w:t>
      </w:r>
      <w:proofErr w:type="spellEnd"/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значения тире как разделителя, «пограничной полосы»: «Пограничные полосы, / Иноземные грады. — / Мы различные полюсы, / Между нами – разряды»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в первом стихотворении; «Ты – как золото в трюме, / Мы – как парус и снасти»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во втором. В последнем же тексте такого значения тире не наблюдается, одна из причин этого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отсутствие Марины в земном мире героя («Ты, Марина,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комета»), ведь поэтесса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житель внеземного пространства. </w:t>
      </w:r>
    </w:p>
    <w:p w14:paraId="0000000C" w14:textId="6C25DE9F" w:rsidR="00AB5164" w:rsidRDefault="00000000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Особенность топонимов в текстах цикла (Париж и Россия 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первом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, Кама и Бретань 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во втором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, Париж и Москва </w:t>
      </w:r>
      <w:r w:rsidR="00656F61">
        <w:rPr>
          <w:rFonts w:ascii="Times New Roman" w:eastAsia="Times New Roman" w:hAnsi="Times New Roman" w:cs="Times New Roman"/>
          <w:sz w:val="24"/>
          <w:szCs w:val="24"/>
          <w:lang w:val="ru-RU"/>
        </w:rPr>
        <w:t>в третьем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4A0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B4A03">
        <w:rPr>
          <w:rFonts w:ascii="Times New Roman" w:eastAsia="Times New Roman" w:hAnsi="Times New Roman" w:cs="Times New Roman"/>
          <w:sz w:val="24"/>
          <w:szCs w:val="24"/>
        </w:rPr>
        <w:t xml:space="preserve"> отсылка к биографии Цветаевой. Самойлов как бы «пропитывает» цветаевскими пространствами тексты, призывая Марину к возрождению в слове.</w:t>
      </w:r>
    </w:p>
    <w:p w14:paraId="7F6CD956" w14:textId="77777777" w:rsidR="002058D1" w:rsidRPr="00AB4A03" w:rsidRDefault="002058D1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BDE6DE7" w:rsidR="00AB5164" w:rsidRDefault="00501E8C" w:rsidP="002058D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</w:t>
      </w:r>
    </w:p>
    <w:p w14:paraId="6DB0E7E0" w14:textId="77777777" w:rsidR="00501E8C" w:rsidRPr="00501E8C" w:rsidRDefault="00501E8C" w:rsidP="00AB4A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8DD813" w14:textId="77777777" w:rsidR="009E1D46" w:rsidRPr="00501E8C" w:rsidRDefault="009E1D46" w:rsidP="009E1D4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E8C">
        <w:rPr>
          <w:rFonts w:ascii="Times New Roman" w:eastAsia="Times New Roman" w:hAnsi="Times New Roman" w:cs="Times New Roman"/>
          <w:sz w:val="24"/>
          <w:szCs w:val="24"/>
        </w:rPr>
        <w:t>Белый 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01E8C">
        <w:rPr>
          <w:rFonts w:ascii="Times New Roman" w:eastAsia="Times New Roman" w:hAnsi="Times New Roman" w:cs="Times New Roman"/>
          <w:sz w:val="24"/>
          <w:szCs w:val="24"/>
        </w:rPr>
        <w:t>Собрание сочинений. Символизм. Книга статей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01E8C">
        <w:rPr>
          <w:rFonts w:ascii="Times New Roman" w:eastAsia="Times New Roman" w:hAnsi="Times New Roman" w:cs="Times New Roman"/>
          <w:sz w:val="24"/>
          <w:szCs w:val="24"/>
        </w:rPr>
        <w:t>М., 2010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3CB89AD" w14:textId="77777777" w:rsidR="009E1D46" w:rsidRDefault="009E1D46" w:rsidP="009E1D4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E8C">
        <w:rPr>
          <w:rFonts w:ascii="Times New Roman" w:eastAsia="Times New Roman" w:hAnsi="Times New Roman" w:cs="Times New Roman"/>
          <w:sz w:val="24"/>
          <w:szCs w:val="24"/>
        </w:rPr>
        <w:t>Лейдерман</w:t>
      </w:r>
      <w:proofErr w:type="spellEnd"/>
      <w:r w:rsidRPr="00501E8C">
        <w:rPr>
          <w:rFonts w:ascii="Times New Roman" w:eastAsia="Times New Roman" w:hAnsi="Times New Roman" w:cs="Times New Roman"/>
          <w:sz w:val="24"/>
          <w:szCs w:val="24"/>
        </w:rPr>
        <w:t xml:space="preserve"> Н.Л.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01E8C">
        <w:rPr>
          <w:rFonts w:ascii="Times New Roman" w:eastAsia="Times New Roman" w:hAnsi="Times New Roman" w:cs="Times New Roman"/>
          <w:sz w:val="24"/>
          <w:szCs w:val="24"/>
        </w:rPr>
        <w:t xml:space="preserve"> Липовецкий М.Н.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01E8C">
        <w:rPr>
          <w:rFonts w:ascii="Times New Roman" w:eastAsia="Times New Roman" w:hAnsi="Times New Roman" w:cs="Times New Roman"/>
          <w:sz w:val="24"/>
          <w:szCs w:val="24"/>
        </w:rPr>
        <w:t>Современная русская литература: 1950— 1990-е годы: Учеб.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01E8C">
        <w:rPr>
          <w:rFonts w:ascii="Times New Roman" w:eastAsia="Times New Roman" w:hAnsi="Times New Roman" w:cs="Times New Roman"/>
          <w:sz w:val="24"/>
          <w:szCs w:val="24"/>
        </w:rPr>
        <w:t xml:space="preserve">пособие для студ. </w:t>
      </w:r>
      <w:proofErr w:type="spellStart"/>
      <w:r w:rsidRPr="00501E8C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501E8C">
        <w:rPr>
          <w:rFonts w:ascii="Times New Roman" w:eastAsia="Times New Roman" w:hAnsi="Times New Roman" w:cs="Times New Roman"/>
          <w:sz w:val="24"/>
          <w:szCs w:val="24"/>
        </w:rPr>
        <w:t>. учеб. заведений: В 2 т. М., 2003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Т.2.</w:t>
      </w:r>
    </w:p>
    <w:p w14:paraId="4FECE7C4" w14:textId="3A1FF2EE" w:rsidR="009E1D46" w:rsidRPr="009E1D46" w:rsidRDefault="002058D1" w:rsidP="009E1D4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Самойлов Д.С.</w:t>
      </w:r>
      <w:r w:rsidR="00501E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1E8C" w:rsidRPr="00501E8C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01E8C" w:rsidRPr="00501E8C">
        <w:rPr>
          <w:rFonts w:ascii="Times New Roman" w:eastAsia="Times New Roman" w:hAnsi="Times New Roman" w:cs="Times New Roman"/>
          <w:sz w:val="24"/>
          <w:szCs w:val="24"/>
        </w:rPr>
        <w:t xml:space="preserve"> СПб.</w:t>
      </w:r>
      <w:r w:rsidR="00501E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01E8C" w:rsidRPr="00501E8C">
        <w:rPr>
          <w:rFonts w:ascii="Times New Roman" w:eastAsia="Times New Roman" w:hAnsi="Times New Roman" w:cs="Times New Roman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9E1D46" w:rsidRPr="009E1D46" w:rsidSect="0094608F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AC3"/>
    <w:multiLevelType w:val="multilevel"/>
    <w:tmpl w:val="8B78E9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00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64"/>
    <w:rsid w:val="002058D1"/>
    <w:rsid w:val="00332FC2"/>
    <w:rsid w:val="00501E8C"/>
    <w:rsid w:val="00566898"/>
    <w:rsid w:val="00656F61"/>
    <w:rsid w:val="0094608F"/>
    <w:rsid w:val="009E1D46"/>
    <w:rsid w:val="00AB4A03"/>
    <w:rsid w:val="00A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762"/>
  <w15:docId w15:val="{06A2D6C6-E21B-4441-95C7-BB5510C6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D42D-54F9-4AA7-9721-94DD08F4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5187</Characters>
  <Application>Microsoft Office Word</Application>
  <DocSecurity>0</DocSecurity>
  <Lines>87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Виктория Кананина</cp:lastModifiedBy>
  <cp:revision>2</cp:revision>
  <dcterms:created xsi:type="dcterms:W3CDTF">2024-02-28T09:45:00Z</dcterms:created>
  <dcterms:modified xsi:type="dcterms:W3CDTF">2024-02-28T09:45:00Z</dcterms:modified>
</cp:coreProperties>
</file>