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4AD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житийных сюжетов в комедиях Михаила Кузмина о трех святых</w:t>
      </w:r>
    </w:p>
    <w:p w14:paraId="00000002" w14:textId="0DB65F4C" w:rsidR="00604AD3" w:rsidRPr="00426575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2657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Мозалева </w:t>
      </w:r>
      <w:r w:rsidR="00426575" w:rsidRPr="00426575">
        <w:rPr>
          <w:rFonts w:ascii="Times New Roman" w:eastAsia="Times New Roman" w:hAnsi="Times New Roman" w:cs="Times New Roman"/>
          <w:bCs/>
          <w:iCs/>
          <w:sz w:val="24"/>
          <w:szCs w:val="24"/>
        </w:rPr>
        <w:t>Ирина Павловна</w:t>
      </w:r>
    </w:p>
    <w:p w14:paraId="00000005" w14:textId="6276293C" w:rsidR="00604AD3" w:rsidRPr="00426575" w:rsidRDefault="00000000" w:rsidP="00426575">
      <w:pPr>
        <w:spacing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6575">
        <w:rPr>
          <w:rFonts w:ascii="Times New Roman" w:eastAsia="Times New Roman" w:hAnsi="Times New Roman" w:cs="Times New Roman"/>
          <w:iCs/>
          <w:sz w:val="24"/>
          <w:szCs w:val="24"/>
        </w:rPr>
        <w:t>Студентка</w:t>
      </w:r>
      <w:r w:rsidR="00426575" w:rsidRPr="004265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26575">
        <w:rPr>
          <w:rFonts w:ascii="Times New Roman" w:eastAsia="Times New Roman" w:hAnsi="Times New Roman" w:cs="Times New Roman"/>
          <w:iCs/>
          <w:sz w:val="24"/>
          <w:szCs w:val="24"/>
        </w:rPr>
        <w:t>Московск</w:t>
      </w:r>
      <w:r w:rsidR="00426575" w:rsidRPr="00426575">
        <w:rPr>
          <w:rFonts w:ascii="Times New Roman" w:eastAsia="Times New Roman" w:hAnsi="Times New Roman" w:cs="Times New Roman"/>
          <w:iCs/>
          <w:sz w:val="24"/>
          <w:szCs w:val="24"/>
        </w:rPr>
        <w:t>ого</w:t>
      </w:r>
      <w:r w:rsidRPr="00426575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государственн</w:t>
      </w:r>
      <w:r w:rsidR="00426575" w:rsidRPr="00426575">
        <w:rPr>
          <w:rFonts w:ascii="Times New Roman" w:eastAsia="Times New Roman" w:hAnsi="Times New Roman" w:cs="Times New Roman"/>
          <w:iCs/>
          <w:sz w:val="24"/>
          <w:szCs w:val="24"/>
        </w:rPr>
        <w:t>ого</w:t>
      </w:r>
      <w:r w:rsidRPr="00426575">
        <w:rPr>
          <w:rFonts w:ascii="Times New Roman" w:eastAsia="Times New Roman" w:hAnsi="Times New Roman" w:cs="Times New Roman"/>
          <w:iCs/>
          <w:sz w:val="24"/>
          <w:szCs w:val="24"/>
        </w:rPr>
        <w:t xml:space="preserve"> университет</w:t>
      </w:r>
      <w:r w:rsidR="00426575" w:rsidRPr="00426575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426575">
        <w:rPr>
          <w:rFonts w:ascii="Times New Roman" w:eastAsia="Times New Roman" w:hAnsi="Times New Roman" w:cs="Times New Roman"/>
          <w:iCs/>
          <w:sz w:val="24"/>
          <w:szCs w:val="24"/>
        </w:rPr>
        <w:t xml:space="preserve"> имени М.В. Ломоносова</w:t>
      </w:r>
      <w:r w:rsidR="00426575" w:rsidRPr="0042657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426575">
        <w:rPr>
          <w:rFonts w:ascii="Times New Roman" w:eastAsia="Times New Roman" w:hAnsi="Times New Roman" w:cs="Times New Roman"/>
          <w:iCs/>
          <w:sz w:val="24"/>
          <w:szCs w:val="24"/>
        </w:rPr>
        <w:t>Москва, Россия</w:t>
      </w:r>
    </w:p>
    <w:p w14:paraId="00000007" w14:textId="362B6537" w:rsidR="00604AD3" w:rsidRDefault="00000000" w:rsidP="00EE698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Агиографическая традиция прослеживается в драматургии Михаила 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Кузмина, поскольку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автор серьезно интересовался древнерусскими и византийскими источниками, а также старообрядчеством. Действительно, в произведениях Кузмина, как и в византийских текстах, присутствует неявная фантастика: сверхъестественное воспринимается как естественное, много значительных подробностей при крайней простоте сюжета и тона повествования. 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Им перерабатываются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образы юродивых, житийные сюжеты, они трансформируются под мировоззрение писателя, которое не совпадает с трактовками средневековой традиции. 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Г.Г.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Шмаков в статье «Блок и Кузмин» выделяет важные темы творчества последнего: концепция любви, «религиозно-благоговейное отношение к миру», «восприятие чувств как посланцев божественной истины», идея самосовершенствования и служения красоте [Шмаков 1972: 336, 352-353]. Именно на этих темах, основанных на агиографических сюжетах, 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строятся «комедии» писателя</w:t>
      </w:r>
      <w:r>
        <w:rPr>
          <w:rFonts w:ascii="Times New Roman" w:eastAsia="Times New Roman" w:hAnsi="Times New Roman" w:cs="Times New Roman"/>
          <w:sz w:val="24"/>
          <w:szCs w:val="24"/>
        </w:rPr>
        <w:t>. К важным житийным мотивам также стоит отнести «странничество Бога ради», «ненамеренное» сочетание браком, образ кающейся блудницы.</w:t>
      </w:r>
    </w:p>
    <w:p w14:paraId="00000008" w14:textId="78CF448F" w:rsidR="00604AD3" w:rsidRDefault="00000000" w:rsidP="00EE698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первую очередь обращает на себя внимание «странничество Бога ради», говоря о Кузмине, нельзя не коснуться сюжета популярного в ранневизантийское время - легенды об Алексие, человеке Божьем. Здесь появляется аскетический подвиг (отказ Алексея от радостей мирской жизни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); перерабатывается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 у писателя и в других произведениях. Действие в комедии «О Алексее человеке божьем или потерянный и обращенный сын» происходит в Риме и Эдессе. В произведении 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присутствуют византийский</w:t>
      </w:r>
      <w:r w:rsidR="00EB1D2F" w:rsidRPr="00EB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колорит и простота средневековой мистерии, которая часто появляется не только в комедиях, но и маленьких рассказах Кузмина. В исследовании С.А. Иванова «Византийское юродство» мы видим два варианта этого сюжета [Иванов 1994: 44-46]. Конечно, произведение отличается от возможного первоисточника, который указывает С.А. Иванов. Комедия Кузмина ближе ко второй версии</w:t>
      </w:r>
      <w:r w:rsidR="00EB1D2F" w:rsidRPr="00EB1D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 xml:space="preserve">первая была записана в середине </w:t>
      </w:r>
      <w:r w:rsidR="00EB1D2F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EB1D2F" w:rsidRPr="00EB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 xml:space="preserve">века в Эдессе, что касается второй, то она относится к периоду от последних десятилетий </w:t>
      </w:r>
      <w:r w:rsidR="00EB1D2F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 xml:space="preserve"> века до 730 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однако идет переплетение сюжетных ситуаций и мотивов из обоих источников. </w:t>
      </w:r>
      <w:sdt>
        <w:sdtPr>
          <w:tag w:val="goog_rdk_0"/>
          <w:id w:val="-626235718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Алексей оказывается в Эдессе,</w:t>
      </w:r>
      <w:r w:rsidR="00295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когда уходит из отчего дома в Риме, оставив новоиспеченную жену, развитие действия происходит быстро, герой не хочет иметь почета и славы ни на родине, ни на чужбине, бежит от нее. Однако часто вспоминает о доме и семье</w:t>
      </w:r>
      <w:r w:rsidR="00DF6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решает вернуться в Рим по воле судьбы: «Путь в Рим ведет. // Бежать не можешь // Своего пути // Суму на плечо положишь // И должен идти». Стоит отметить мотив появления Богородицы и существенное отличие в Ее изображении в первой и второй версиях жития  и в комедии. С.А. Иванов в своей книге упоминает, что если в русских «духовных стихах» по мотивам жития приказ вернуться домой отдает Алексею сама Богородица, то у Кузмина, наоборот, она сопровождает его в пути из Рима в Эдессу: «Под Божью власть, // Кто Богу вдался, тот верно водится // Путем святым; // Идет с ним ангел, и Богородица // Глядит за ним». Таким образом, в оригинале Богородица выполняет функцию веления, а у Кузмина она является спутником-другом героя и помогает ему вернуться домой.</w:t>
      </w:r>
    </w:p>
    <w:p w14:paraId="00000009" w14:textId="01845EF1" w:rsidR="00604AD3" w:rsidRDefault="00000000" w:rsidP="00EE698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А.Г. Тимофеев в статье «Комедии о святых» М. Кузмина [Тимофеев 1907</w:t>
      </w:r>
      <w:r w:rsidR="00E15A8D">
        <w:rPr>
          <w:rFonts w:ascii="Times New Roman" w:eastAsia="Times New Roman" w:hAnsi="Times New Roman" w:cs="Times New Roman"/>
          <w:sz w:val="24"/>
          <w:szCs w:val="24"/>
        </w:rPr>
        <w:t>: 237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 отмечает, что «источники текста» - нововведение, так как в житии  не говорится об общении Алексея с блудницами, а в произведении Кузмина сама Богородица называет героя «другом блудниц», именно через этот момент и можно заметить вольность в трактовке Кузмина. Уже в предисловии автор дает намек на некую «улыбку» при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прочтении комедий. Следует сделать вывод о том, что у Кузмина это свободное обращение к житиям, интерпретация.</w:t>
      </w:r>
    </w:p>
    <w:p w14:paraId="0000000A" w14:textId="44327B19" w:rsidR="00604AD3" w:rsidRDefault="00000000" w:rsidP="00EE698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Сочетание браком в комедии кажется герою злом, спасение он видит в сохранении невинности, «браке небесном» – это еще один мотив, который обращает на себя внимание [Тимофеев 1907: 216]. Кузмин перерабатывает это в комедии, она начинается тем, что Алексей и Мастридия женаты, однако важнейший мотив остается: брачных отношений между героями не было - они </w:t>
      </w:r>
      <w:r w:rsidR="00E15A8D">
        <w:rPr>
          <w:rFonts w:ascii="Times New Roman" w:eastAsia="Times New Roman" w:hAnsi="Times New Roman" w:cs="Times New Roman"/>
          <w:sz w:val="24"/>
          <w:szCs w:val="24"/>
        </w:rPr>
        <w:t>сохраняют духовную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телесную чистоту.</w:t>
      </w:r>
    </w:p>
    <w:p w14:paraId="0000000B" w14:textId="2511402C" w:rsidR="00604AD3" w:rsidRDefault="00000000" w:rsidP="00EE698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Образ кающейся блудницы был популярен в христианской литературе с евангельских времен. С.А. Иванов в исследовании «Византийское юродство» уделяет внимание только </w:t>
      </w:r>
      <w:r w:rsidR="00E15A8D">
        <w:rPr>
          <w:rFonts w:ascii="Times New Roman" w:eastAsia="Times New Roman" w:hAnsi="Times New Roman" w:cs="Times New Roman"/>
          <w:sz w:val="24"/>
          <w:szCs w:val="24"/>
        </w:rPr>
        <w:t>сюжетному ответвлению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связанному с блудницей и монахом, являющимся к ней «в обличье клиента».  Подобный мотив можно заметить в комедиях М. Кузмина «Комедия о Мартиниане» и «Комедия о Евдокии из Гелиополя, или Обращенная куртизанка». Действительно, в комедиях перерабатывается первоисточник и прослеживаются многие «любимые» идеи и жизненные парадоксы автора.  Комедию о Евдокии можно </w:t>
      </w:r>
      <w:r w:rsidR="00E15A8D">
        <w:rPr>
          <w:rFonts w:ascii="Times New Roman" w:eastAsia="Times New Roman" w:hAnsi="Times New Roman" w:cs="Times New Roman"/>
          <w:sz w:val="24"/>
          <w:szCs w:val="24"/>
        </w:rPr>
        <w:t>назвать аллюзией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житие самарянки Евдокии, которая долгое время вела греховную жизнь. Раннехристианская святая отличалась красотой и, будучи блудницей, заработала огромное состояние, была обращена в христианство монахом Германом. Согласно житию, принятию ею крещения предшествовало явление Евдокии архангела Михаила, который вырвал её из лап сатаны.</w:t>
      </w:r>
    </w:p>
    <w:p w14:paraId="0000000C" w14:textId="77777777" w:rsidR="00604AD3" w:rsidRDefault="00000000" w:rsidP="0042657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Михаил Кузмин в произведениях перерабатывает византийский материал, средневековые мистерии и жития святых, добавляя новые вариации с перевесом в сторону игры, лицедейства и вольной интерпретации. Стилизация в анализируемых произведениях заключается в трансформации «претекста» - жанровой модели жития в модернистской эстетике, игра Кузмина превращается в художественное житие.</w:t>
      </w:r>
    </w:p>
    <w:p w14:paraId="0000000D" w14:textId="77777777" w:rsidR="00604AD3" w:rsidRDefault="0000000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14:paraId="0000000E" w14:textId="2461D102" w:rsidR="00604AD3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Иванов С.А. 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Византийское юродство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//  М.: Междунар. отношения, 1994. </w:t>
      </w:r>
    </w:p>
    <w:p w14:paraId="0000000F" w14:textId="68E4E810" w:rsidR="00604AD3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Тимофеев А.Г. 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Комедии о святых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Кузмина</w:t>
      </w:r>
      <w:r w:rsidR="00EB1D2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1907.</w:t>
      </w:r>
    </w:p>
    <w:p w14:paraId="00000010" w14:textId="77777777" w:rsidR="00604AD3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 Шмаков Г.Г. «Блок и Кузмин (Новые материалы)» во втором «Блоковском сборнике» (Тарту, 1972).</w:t>
      </w:r>
    </w:p>
    <w:sectPr w:rsidR="00604AD3" w:rsidSect="00C213FF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5DEB"/>
    <w:multiLevelType w:val="multilevel"/>
    <w:tmpl w:val="A40CF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4454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295B6F"/>
    <w:rsid w:val="00425C39"/>
    <w:rsid w:val="00426575"/>
    <w:rsid w:val="00604AD3"/>
    <w:rsid w:val="006E76F9"/>
    <w:rsid w:val="00C213FF"/>
    <w:rsid w:val="00DF6F38"/>
    <w:rsid w:val="00E15A8D"/>
    <w:rsid w:val="00EB1D2F"/>
    <w:rsid w:val="00E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AA8C"/>
  <w15:docId w15:val="{786C7D8D-CA99-425D-AE47-60B64BF8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FB0F06"/>
    <w:rPr>
      <w:color w:val="0000FF" w:themeColor="hyperlink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IbaU6kMrbkU9VQHsm1p5l8ibw==">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</go:docsCustomData>
</go:gDocsCustomXmlDataStorage>
</file>

<file path=customXml/itemProps1.xml><?xml version="1.0" encoding="utf-8"?>
<ds:datastoreItem xmlns:ds="http://schemas.openxmlformats.org/officeDocument/2006/customXml" ds:itemID="{CC4D9E85-7FBB-4278-AACD-056A1BFB9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790</Words>
  <Characters>4950</Characters>
  <Application>Microsoft Office Word</Application>
  <DocSecurity>0</DocSecurity>
  <Lines>78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Андреевна</dc:creator>
  <cp:lastModifiedBy>user01</cp:lastModifiedBy>
  <cp:revision>5</cp:revision>
  <dcterms:created xsi:type="dcterms:W3CDTF">2024-02-11T16:17:00Z</dcterms:created>
  <dcterms:modified xsi:type="dcterms:W3CDTF">2024-02-13T21:13:00Z</dcterms:modified>
</cp:coreProperties>
</file>