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9C88" w14:textId="77777777" w:rsidR="00CA6FFF" w:rsidRPr="0021488F" w:rsidRDefault="00D63139" w:rsidP="00606760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Переключение кодов на примере англо-испанского разговорного языка</w:t>
      </w:r>
      <w:r w:rsidR="00DF191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="00FB3D4E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="00B1270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в Гибралтаре </w:t>
      </w:r>
    </w:p>
    <w:p w14:paraId="4975BF4F" w14:textId="77777777" w:rsidR="00CA6FFF" w:rsidRPr="0021488F" w:rsidRDefault="00CA6FFF" w:rsidP="00606760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488F">
        <w:rPr>
          <w:rFonts w:ascii="Times New Roman" w:hAnsi="Times New Roman"/>
          <w:color w:val="000000"/>
          <w:sz w:val="24"/>
          <w:szCs w:val="24"/>
          <w:lang w:val="ru-RU"/>
        </w:rPr>
        <w:t>Фесюк Оксана Игоревна</w:t>
      </w:r>
    </w:p>
    <w:p w14:paraId="4539127D" w14:textId="77777777" w:rsidR="00CA6FFF" w:rsidRPr="0021488F" w:rsidRDefault="00CA6FFF" w:rsidP="00606760">
      <w:pPr>
        <w:snapToGrid w:val="0"/>
        <w:contextualSpacing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488F">
        <w:rPr>
          <w:rFonts w:ascii="Times New Roman" w:hAnsi="Times New Roman"/>
          <w:color w:val="000000"/>
          <w:sz w:val="24"/>
          <w:szCs w:val="24"/>
          <w:lang w:val="ru-RU" w:eastAsia="ru-RU"/>
        </w:rPr>
        <w:t>Студентка МГУ имени М.В. Ломоносова, Москва, Россия</w:t>
      </w:r>
    </w:p>
    <w:p w14:paraId="3987289E" w14:textId="77777777" w:rsidR="00CA6FFF" w:rsidRPr="0021488F" w:rsidRDefault="00CA6FFF" w:rsidP="00606760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12DFBC2" w14:textId="77777777" w:rsidR="00FB3D4E" w:rsidRPr="00FB3D4E" w:rsidRDefault="00FB3D4E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Переключение кодов - это попеременный переход говорящего с одного языка на другой</w:t>
      </w:r>
      <w:r w:rsidR="0095799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957996" w:rsidRPr="00957996">
        <w:rPr>
          <w:rFonts w:ascii="Times New Roman" w:hAnsi="Times New Roman"/>
          <w:color w:val="000000"/>
          <w:sz w:val="24"/>
          <w:szCs w:val="24"/>
          <w:lang w:val="ru-RU"/>
        </w:rPr>
        <w:t>[</w:t>
      </w:r>
      <w:r w:rsidR="00957996">
        <w:rPr>
          <w:rFonts w:ascii="Times New Roman" w:hAnsi="Times New Roman"/>
          <w:color w:val="000000"/>
          <w:sz w:val="24"/>
          <w:szCs w:val="24"/>
          <w:lang w:val="ru-RU"/>
        </w:rPr>
        <w:t xml:space="preserve">Э. </w:t>
      </w:r>
      <w:proofErr w:type="spellStart"/>
      <w:r w:rsidR="00957996">
        <w:rPr>
          <w:rFonts w:ascii="Times New Roman" w:hAnsi="Times New Roman"/>
          <w:color w:val="000000"/>
          <w:sz w:val="24"/>
          <w:szCs w:val="24"/>
          <w:lang w:val="ru-RU"/>
        </w:rPr>
        <w:t>Хауген</w:t>
      </w:r>
      <w:proofErr w:type="spellEnd"/>
      <w:r w:rsidR="00957996">
        <w:rPr>
          <w:rFonts w:ascii="Times New Roman" w:hAnsi="Times New Roman"/>
          <w:color w:val="000000"/>
          <w:sz w:val="24"/>
          <w:szCs w:val="24"/>
          <w:lang w:val="ru-RU"/>
        </w:rPr>
        <w:t>: 76 ]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. Э. </w:t>
      </w:r>
      <w:proofErr w:type="spellStart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Хауген</w:t>
      </w:r>
      <w:proofErr w:type="spellEnd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выделяет как полное переключение ( в речевом потоке можно указать момент, когда меняются все аспекты высказывания, включая фонологию, морфологию, синтаксис и лексику), так и неполное. Рассмотрим это языковое явление на примере разговорного смешанного языка Гибралтара </w:t>
      </w:r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C200A75" w14:textId="77777777" w:rsidR="00FB3D4E" w:rsidRPr="00FB3D4E" w:rsidRDefault="00E44B87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насчитывает около 30.000 носителей и представляет собой </w:t>
      </w:r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элементов 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андалузского</w:t>
      </w:r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диалекта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испанского</w:t>
      </w:r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 xml:space="preserve"> языка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британского английского. Также следует отметить влияние таких языков как </w:t>
      </w:r>
      <w:r w:rsidR="00691206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ортугальский, итальянский и иврит. </w:t>
      </w:r>
    </w:p>
    <w:p w14:paraId="643E0132" w14:textId="77777777" w:rsidR="00FB3D4E" w:rsidRPr="00FB3D4E" w:rsidRDefault="00E44B87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стал массовым речевым явлением в Гибралтаре после 1714 года, </w:t>
      </w:r>
      <w:r w:rsidR="00653333">
        <w:rPr>
          <w:rFonts w:ascii="Times New Roman" w:hAnsi="Times New Roman"/>
          <w:color w:val="000000"/>
          <w:sz w:val="24"/>
          <w:szCs w:val="24"/>
          <w:lang w:val="ru-RU"/>
        </w:rPr>
        <w:t>когда закончилась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войн</w:t>
      </w:r>
      <w:r w:rsidR="00653333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испанское наследство</w:t>
      </w:r>
      <w:r w:rsidR="0065333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основная масса испанцев покинула эту оккупированную британцами территорию. Так, в 1785 году здесь осталось всего 185 испанцев</w:t>
      </w:r>
      <w:r w:rsidR="008730D4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В связи с новым статусом Гибралтара как «заморской территории Великобритании» английский язык вытеснил испанский из официальной сферы, но не получил широкого распространения в устной речи из-за сохраняющейся близости Гибралтара к крупному испанскому городу — Ла-</w:t>
      </w:r>
      <w:proofErr w:type="spellStart"/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Линеа</w:t>
      </w:r>
      <w:proofErr w:type="spellEnd"/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-де-ла-</w:t>
      </w:r>
      <w:proofErr w:type="spellStart"/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Консепсьон</w:t>
      </w:r>
      <w:proofErr w:type="spellEnd"/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.  В последующие годы диктатура Франко (1939-1975г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>г.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)  и выход 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>Великоб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ритании из 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>состава Е</w:t>
      </w:r>
      <w:r w:rsidR="008951D2">
        <w:rPr>
          <w:rFonts w:ascii="Times New Roman" w:hAnsi="Times New Roman"/>
          <w:color w:val="000000"/>
          <w:sz w:val="24"/>
          <w:szCs w:val="24"/>
          <w:lang w:val="ru-RU"/>
        </w:rPr>
        <w:t xml:space="preserve">вропейского союза 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(2020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>г.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>) еще больше отдалили Гибралтар от испаноязычного мира, из-за чег</w:t>
      </w:r>
      <w:r w:rsidR="008951D2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="00FB3D4E"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испанский язык стал маргинализироваться, а английский стал использоваться не только в официальных сферах, но и на уровне разговорной речи. </w:t>
      </w:r>
    </w:p>
    <w:p w14:paraId="39C0BB13" w14:textId="77777777" w:rsidR="00FB3D4E" w:rsidRPr="00FB3D4E" w:rsidRDefault="00FB3D4E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Говоря об актуальном статусе и сферах употребления каждого языка, можно отметить, что английский язык является официальным языком Гибралтара и используется в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 xml:space="preserve"> официальных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сферах (правительство, документация, 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 xml:space="preserve">юрисдикция, 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образование, телевидение), в то время как испанский довольствуется лишь ролью языка повседневно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>го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, развлекательны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 и стат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>ей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. Также на этот феномен большое влияние имеют такие лингвистические и социальные факторы, как возраст, пол, социальный статус и знание обоих языков. Так, люди старше 50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 xml:space="preserve"> лет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предпочитают говорить на испанском языке с добавлением английской лексики, люди среднего возраста (от 30 до 50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 xml:space="preserve"> лет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) в большинстве случаев двуязычны и владеют стандартными испанским и английским языками, в то время как представители молодежи (до 30</w:t>
      </w:r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 xml:space="preserve"> лет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), выросшие в уже англизированном обществе, имеют тенденцию к использованию английской речи с добавлением небольшого количества испанских выражений. </w:t>
      </w:r>
    </w:p>
    <w:p w14:paraId="31D58E90" w14:textId="77777777" w:rsidR="00FB3D4E" w:rsidRPr="00FB3D4E" w:rsidRDefault="00FB3D4E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Среди особенностей </w:t>
      </w:r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фонетики, помимо тех, которые присущи непосредственно андалузскому диалекту испанского (</w:t>
      </w:r>
      <w:proofErr w:type="spellStart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yeísmo</w:t>
      </w:r>
      <w:proofErr w:type="spellEnd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, нейтрализация r и l, аспирация или исчезновение s, аспирация </w:t>
      </w:r>
      <w:proofErr w:type="spellStart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p,t</w:t>
      </w:r>
      <w:proofErr w:type="spellEnd"/>
      <w:r w:rsidR="006175E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6175E9">
        <w:rPr>
          <w:rFonts w:ascii="Times New Roman" w:hAnsi="Times New Roman"/>
          <w:color w:val="000000"/>
          <w:sz w:val="24"/>
          <w:szCs w:val="24"/>
        </w:rPr>
        <w:t>k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) также выделяется произношение английских слов с андалузским акцентом</w:t>
      </w:r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 xml:space="preserve">. Эта черта выражается в виде необычного написания слов: так, английское </w:t>
      </w:r>
      <w:r w:rsidR="00867CA1" w:rsidRPr="00160FCC">
        <w:rPr>
          <w:rFonts w:ascii="Times New Roman" w:hAnsi="Times New Roman"/>
          <w:color w:val="000000"/>
          <w:sz w:val="24"/>
          <w:szCs w:val="24"/>
          <w:lang w:val="ru-RU"/>
        </w:rPr>
        <w:t>“</w:t>
      </w:r>
      <w:proofErr w:type="spellStart"/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>responsible</w:t>
      </w:r>
      <w:proofErr w:type="spellEnd"/>
      <w:r w:rsidR="00867CA1" w:rsidRPr="00160FCC">
        <w:rPr>
          <w:rFonts w:ascii="Times New Roman" w:hAnsi="Times New Roman"/>
          <w:color w:val="000000"/>
          <w:sz w:val="24"/>
          <w:szCs w:val="24"/>
          <w:lang w:val="ru-RU"/>
        </w:rPr>
        <w:t>”</w:t>
      </w:r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 xml:space="preserve"> в «</w:t>
      </w:r>
      <w:proofErr w:type="spellStart"/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 xml:space="preserve">» превращается в </w:t>
      </w:r>
      <w:r w:rsidR="00867CA1" w:rsidRPr="00160FCC">
        <w:rPr>
          <w:rFonts w:ascii="Times New Roman" w:hAnsi="Times New Roman"/>
          <w:color w:val="000000"/>
          <w:sz w:val="24"/>
          <w:szCs w:val="24"/>
          <w:lang w:val="ru-RU"/>
        </w:rPr>
        <w:t>“</w:t>
      </w:r>
      <w:r w:rsidR="00867CA1">
        <w:rPr>
          <w:rFonts w:ascii="Times New Roman" w:hAnsi="Times New Roman"/>
          <w:color w:val="000000"/>
          <w:sz w:val="24"/>
          <w:szCs w:val="24"/>
        </w:rPr>
        <w:t>r</w:t>
      </w:r>
      <w:proofErr w:type="spellStart"/>
      <w:r w:rsidR="00867CA1" w:rsidRPr="00867CA1">
        <w:rPr>
          <w:rFonts w:ascii="Times New Roman" w:hAnsi="Times New Roman"/>
          <w:color w:val="000000"/>
          <w:sz w:val="24"/>
          <w:szCs w:val="24"/>
          <w:lang w:val="ru-RU"/>
        </w:rPr>
        <w:t>ispòntsibol</w:t>
      </w:r>
      <w:proofErr w:type="spellEnd"/>
      <w:r w:rsidR="00867CA1" w:rsidRPr="00160FCC">
        <w:rPr>
          <w:rFonts w:ascii="Times New Roman" w:hAnsi="Times New Roman"/>
          <w:color w:val="000000"/>
          <w:sz w:val="24"/>
          <w:szCs w:val="24"/>
          <w:lang w:val="ru-RU"/>
        </w:rPr>
        <w:t>”</w:t>
      </w:r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 xml:space="preserve">, а </w:t>
      </w:r>
      <w:r w:rsidR="00867CA1" w:rsidRPr="00160FCC">
        <w:rPr>
          <w:rFonts w:ascii="Times New Roman" w:hAnsi="Times New Roman"/>
          <w:color w:val="000000"/>
          <w:sz w:val="24"/>
          <w:szCs w:val="24"/>
          <w:lang w:val="ru-RU"/>
        </w:rPr>
        <w:t>“</w:t>
      </w:r>
      <w:r w:rsidR="00867CA1">
        <w:rPr>
          <w:rFonts w:ascii="Times New Roman" w:hAnsi="Times New Roman"/>
          <w:color w:val="000000"/>
          <w:sz w:val="24"/>
          <w:szCs w:val="24"/>
        </w:rPr>
        <w:t>global</w:t>
      </w:r>
      <w:r w:rsidR="00867CA1" w:rsidRPr="00160F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>understanding</w:t>
      </w:r>
      <w:proofErr w:type="spellEnd"/>
      <w:r w:rsidR="00867CA1" w:rsidRPr="00160FCC">
        <w:rPr>
          <w:rFonts w:ascii="Times New Roman" w:hAnsi="Times New Roman"/>
          <w:color w:val="000000"/>
          <w:sz w:val="24"/>
          <w:szCs w:val="24"/>
          <w:lang w:val="ru-RU"/>
        </w:rPr>
        <w:t>”</w:t>
      </w:r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становится </w:t>
      </w:r>
      <w:r w:rsidR="00867CA1" w:rsidRPr="00160FCC">
        <w:rPr>
          <w:rFonts w:ascii="Times New Roman" w:hAnsi="Times New Roman"/>
          <w:color w:val="000000"/>
          <w:sz w:val="24"/>
          <w:szCs w:val="24"/>
          <w:lang w:val="ru-RU"/>
        </w:rPr>
        <w:t>“</w:t>
      </w:r>
      <w:proofErr w:type="spellStart"/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>gl</w:t>
      </w:r>
      <w:r w:rsidR="00867CA1" w:rsidRPr="00867CA1">
        <w:rPr>
          <w:rFonts w:ascii="Times New Roman" w:hAnsi="Times New Roman"/>
          <w:color w:val="000000"/>
          <w:sz w:val="24"/>
          <w:szCs w:val="24"/>
          <w:lang w:val="ru-RU"/>
        </w:rPr>
        <w:t>òubol</w:t>
      </w:r>
      <w:proofErr w:type="spellEnd"/>
      <w:r w:rsidR="00867CA1" w:rsidRPr="00867CA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67CA1" w:rsidRPr="00867CA1">
        <w:rPr>
          <w:rFonts w:ascii="Times New Roman" w:hAnsi="Times New Roman"/>
          <w:color w:val="000000"/>
          <w:sz w:val="24"/>
          <w:szCs w:val="24"/>
          <w:lang w:val="ru-RU"/>
        </w:rPr>
        <w:t>andastànd</w:t>
      </w:r>
      <w:r w:rsidR="001A4BC6">
        <w:rPr>
          <w:rFonts w:ascii="Times New Roman" w:hAnsi="Times New Roman"/>
          <w:color w:val="000000"/>
          <w:sz w:val="24"/>
          <w:szCs w:val="24"/>
        </w:rPr>
        <w:t>i</w:t>
      </w:r>
      <w:r w:rsidR="00867CA1" w:rsidRPr="00867CA1">
        <w:rPr>
          <w:rFonts w:ascii="Times New Roman" w:hAnsi="Times New Roman"/>
          <w:color w:val="000000"/>
          <w:sz w:val="24"/>
          <w:szCs w:val="24"/>
          <w:lang w:val="ru-RU"/>
        </w:rPr>
        <w:t>ng</w:t>
      </w:r>
      <w:proofErr w:type="spellEnd"/>
      <w:r w:rsidR="00867CA1" w:rsidRPr="00160FCC">
        <w:rPr>
          <w:rFonts w:ascii="Times New Roman" w:hAnsi="Times New Roman"/>
          <w:color w:val="000000"/>
          <w:sz w:val="24"/>
          <w:szCs w:val="24"/>
          <w:lang w:val="ru-RU"/>
        </w:rPr>
        <w:t>”</w:t>
      </w:r>
      <w:r w:rsidR="00867CA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8CAE8CD" w14:textId="77777777" w:rsidR="00FB3D4E" w:rsidRPr="00FB3D4E" w:rsidRDefault="00FB3D4E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На морфологическом уровне можно отметить появление рода у английских слов.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Так, в высказывании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Mira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que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como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un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...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heritage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английского существительного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heritage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появляется </w:t>
      </w:r>
      <w:r w:rsidR="00E44B8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испанский 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артикль мужского рода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un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Возможной причиной появления артикля является изначальное желание говорящего выразить свою мысль по-испански, используя слово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legado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B51ED0B" w14:textId="77777777" w:rsidR="00FB3D4E" w:rsidRPr="00FB3D4E" w:rsidRDefault="00FB3D4E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Лексика </w:t>
      </w:r>
      <w:r w:rsidR="00E44B87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 w:rsidR="00E44B87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отличается разнообразием и яркостью. Привлекают внимание  исследователя такие слова как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chachi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(«крутой»),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drinki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(от англ.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drink</w:t>
      </w:r>
      <w:proofErr w:type="spellEnd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«алкогольный напиток»),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tishe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(от англ.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teacher</w:t>
      </w:r>
      <w:proofErr w:type="spellEnd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«учитель»),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aikrim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(от англ.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ice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cream</w:t>
      </w:r>
      <w:proofErr w:type="spellEnd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«мороженое»), 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pankeki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(от англ.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pancakes</w:t>
      </w:r>
      <w:proofErr w:type="spellEnd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«блинчики»)  и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call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(от англ.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call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«звонок»). Не менее распространено в </w:t>
      </w:r>
      <w:proofErr w:type="spellStart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калькирование. Так, выражение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te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llamo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pa’tras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, образованное по кальке с английского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I’ll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call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you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back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, является эквивалентом испанского высказывания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te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devolveré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la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llamada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”.</w:t>
      </w:r>
    </w:p>
    <w:p w14:paraId="20FFA068" w14:textId="77777777" w:rsidR="00FB3D4E" w:rsidRPr="00FB3D4E" w:rsidRDefault="00FB3D4E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Говоря о синтаксисе </w:t>
      </w:r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 w:rsidR="001555E9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, важно отметить появление в  английской речи испанских слов, а в испанской -  английских. Эта особенность используется для передачи не только чужой речи в неформальной обстановке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(...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you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know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I’m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going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in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the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street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: </w:t>
      </w:r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Sonia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rico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rico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Sonia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” y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yo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: “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Sí-sí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”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),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но и мыслей в сложноподчиненном предложении: </w:t>
      </w:r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Because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I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don’t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want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this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recipe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to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be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que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se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pierdan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tu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sabe</w:t>
      </w:r>
      <w:r w:rsidR="00A137CA"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s</w:t>
      </w:r>
      <w:proofErr w:type="spellEnd"/>
      <w:r w:rsidRPr="00A137CA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этом </w:t>
      </w:r>
      <w:r w:rsidR="00E572B2">
        <w:rPr>
          <w:rFonts w:ascii="Times New Roman" w:hAnsi="Times New Roman"/>
          <w:color w:val="000000"/>
          <w:sz w:val="24"/>
          <w:szCs w:val="24"/>
          <w:lang w:val="ru-RU"/>
        </w:rPr>
        <w:t>высказывании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главной части говорящий использует английский язык, в то время как зависимая часть звучит на испанском. В некоторых случаях стык переключения кодов может находится даже на союзе: </w:t>
      </w:r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que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se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pierdan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tu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sabes</w:t>
      </w:r>
      <w:proofErr w:type="spellEnd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Pr="00E572B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porque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the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very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old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fashion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and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the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other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books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I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have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done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before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. Так, подчинительный союз </w:t>
      </w:r>
      <w:proofErr w:type="spellStart"/>
      <w:r w:rsidR="00E572B2">
        <w:rPr>
          <w:rFonts w:ascii="Times New Roman" w:hAnsi="Times New Roman"/>
          <w:color w:val="000000"/>
          <w:sz w:val="24"/>
          <w:szCs w:val="24"/>
        </w:rPr>
        <w:t>porque</w:t>
      </w:r>
      <w:proofErr w:type="spellEnd"/>
      <w:r w:rsidR="00E572B2" w:rsidRPr="00E572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служит окончанием испанского фрагмента речи, но не самой мысли, которая выражается лексическими средствами уже другой системы знаков. </w:t>
      </w:r>
    </w:p>
    <w:p w14:paraId="09B96E5B" w14:textId="77777777" w:rsidR="00FB3D4E" w:rsidRDefault="00FB3D4E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Таким образом, из выше представленных примеров мы видим, что у </w:t>
      </w:r>
      <w:r w:rsidR="00E44B87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>янито</w:t>
      </w:r>
      <w:proofErr w:type="spellEnd"/>
      <w:r w:rsidR="00E44B87">
        <w:rPr>
          <w:rFonts w:ascii="Times New Roman" w:hAnsi="Times New Roman"/>
          <w:color w:val="000000"/>
          <w:sz w:val="24"/>
          <w:szCs w:val="24"/>
          <w:lang w:val="ru-RU"/>
        </w:rPr>
        <w:t xml:space="preserve">» 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можно выделить особенности на каждом языковом уровне. Говорящий переключает коды разных языков, чтобы точнее и ярче выразить свою мысль, поскольку средства одного языка не могут справится с этой функцией. Маркером переключения кодов служит пауза, которую делает носитель перед тем, как перейти на другой язык. Так, в предложении </w:t>
      </w:r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“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Mira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que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como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un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...</w:t>
      </w:r>
      <w:proofErr w:type="spellStart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heritage</w:t>
      </w:r>
      <w:proofErr w:type="spellEnd"/>
      <w:r w:rsidRPr="00E572B2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”</w:t>
      </w:r>
      <w:r w:rsidRPr="00FB3D4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говорящий как бы замирает в поиске подходящего слова в лексическом поле испанского языка, не находит его и переключается на английский, где это слово существует и более четко выражает его мысль. </w:t>
      </w:r>
    </w:p>
    <w:p w14:paraId="29CB51DB" w14:textId="77777777" w:rsidR="00957996" w:rsidRDefault="00957996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8100C42" w14:textId="77777777" w:rsidR="00957996" w:rsidRDefault="00957996" w:rsidP="00FB3D4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Литература</w:t>
      </w:r>
    </w:p>
    <w:p w14:paraId="1AB327AE" w14:textId="77777777" w:rsidR="000303EA" w:rsidRDefault="000303EA" w:rsidP="000303EA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proofErr w:type="spellStart"/>
      <w:r w:rsidRPr="00160FCC">
        <w:rPr>
          <w:rFonts w:ascii="Times New Roman" w:hAnsi="Times New Roman"/>
          <w:color w:val="000000"/>
          <w:sz w:val="24"/>
          <w:szCs w:val="24"/>
          <w:lang w:val="ru-RU"/>
        </w:rPr>
        <w:t>Хауген</w:t>
      </w:r>
      <w:proofErr w:type="spellEnd"/>
      <w:r w:rsidRPr="00160FCC">
        <w:rPr>
          <w:rFonts w:ascii="Times New Roman" w:hAnsi="Times New Roman"/>
          <w:color w:val="000000"/>
          <w:sz w:val="24"/>
          <w:szCs w:val="24"/>
          <w:lang w:val="ru-RU"/>
        </w:rPr>
        <w:t xml:space="preserve"> Э. Языковой контакт. Новое в лингвистике. </w:t>
      </w:r>
      <w:r w:rsidRPr="000303EA">
        <w:rPr>
          <w:rFonts w:ascii="Times New Roman" w:hAnsi="Times New Roman"/>
          <w:color w:val="000000"/>
          <w:sz w:val="24"/>
          <w:szCs w:val="24"/>
          <w:lang w:val="es-ES"/>
        </w:rPr>
        <w:t>Вып.6. М., 1972</w:t>
      </w:r>
    </w:p>
    <w:p w14:paraId="660600AC" w14:textId="77777777" w:rsidR="000303EA" w:rsidRPr="00160FCC" w:rsidRDefault="000303EA" w:rsidP="000303EA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160FCC">
        <w:rPr>
          <w:rFonts w:ascii="Times New Roman" w:hAnsi="Times New Roman"/>
          <w:color w:val="000000"/>
          <w:sz w:val="24"/>
          <w:szCs w:val="24"/>
          <w:lang w:val="es-ES"/>
        </w:rPr>
        <w:t>Ríos Mariscal A. Presencia de rasgos lingüísticos característicos de las lenguas de herencia en las producciones escritas de hablantes bilingües de Gibraltar: Revista Nebrija de lingüística Aplicada a la Enseñanza de las Lenguas. Cádiz, 2021</w:t>
      </w:r>
    </w:p>
    <w:p w14:paraId="0F54A4BF" w14:textId="77777777" w:rsidR="000303EA" w:rsidRPr="00160FCC" w:rsidRDefault="000303EA" w:rsidP="000303EA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160FCC">
        <w:rPr>
          <w:rFonts w:ascii="Times New Roman" w:hAnsi="Times New Roman"/>
          <w:color w:val="000000"/>
          <w:sz w:val="24"/>
          <w:szCs w:val="24"/>
          <w:lang w:val="es-ES"/>
        </w:rPr>
        <w:t xml:space="preserve">Carmen Martín F. Incorporación léxica y actitudes lingüísticas en el campo de Gibraltar: Pragmalingüística, </w:t>
      </w:r>
      <w:r w:rsidR="00A51BBF" w:rsidRPr="00160FCC">
        <w:rPr>
          <w:rFonts w:ascii="Times New Roman" w:hAnsi="Times New Roman"/>
          <w:color w:val="000000"/>
          <w:sz w:val="24"/>
          <w:szCs w:val="24"/>
          <w:lang w:val="es-ES"/>
        </w:rPr>
        <w:t>№</w:t>
      </w:r>
      <w:r w:rsidRPr="00160FCC">
        <w:rPr>
          <w:rFonts w:ascii="Times New Roman" w:hAnsi="Times New Roman"/>
          <w:color w:val="000000"/>
          <w:sz w:val="24"/>
          <w:szCs w:val="24"/>
          <w:lang w:val="es-ES"/>
        </w:rPr>
        <w:t>8-9. Cádiz, 2000</w:t>
      </w:r>
    </w:p>
    <w:p w14:paraId="3D40FA32" w14:textId="77777777" w:rsidR="000303EA" w:rsidRPr="00160FCC" w:rsidRDefault="000303EA" w:rsidP="000303E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0FCC">
        <w:rPr>
          <w:rFonts w:ascii="Times New Roman" w:hAnsi="Times New Roman"/>
          <w:color w:val="000000"/>
          <w:sz w:val="24"/>
          <w:szCs w:val="24"/>
          <w:lang w:val="es-ES"/>
        </w:rPr>
        <w:t xml:space="preserve">Caba García M. Estudio sociolingüístico del uso del español y el inglés en el code-switching de Gibraltar. </w:t>
      </w:r>
      <w:r w:rsidRPr="00160FCC">
        <w:rPr>
          <w:rFonts w:ascii="Times New Roman" w:hAnsi="Times New Roman"/>
          <w:color w:val="000000"/>
          <w:sz w:val="24"/>
          <w:szCs w:val="24"/>
        </w:rPr>
        <w:t>Etudes Romanes de Brno. Cádiz, 2022</w:t>
      </w:r>
    </w:p>
    <w:p w14:paraId="00CB1C98" w14:textId="77777777" w:rsidR="000303EA" w:rsidRPr="00160FCC" w:rsidRDefault="000303EA" w:rsidP="000303EA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0FCC">
        <w:rPr>
          <w:rFonts w:ascii="Times New Roman" w:hAnsi="Times New Roman"/>
          <w:color w:val="000000"/>
          <w:sz w:val="24"/>
          <w:szCs w:val="24"/>
        </w:rPr>
        <w:t xml:space="preserve">Chevasco D. Notes on “Contemporary Bilingualism, </w:t>
      </w:r>
      <w:proofErr w:type="spellStart"/>
      <w:r w:rsidRPr="00160FCC">
        <w:rPr>
          <w:rFonts w:ascii="Times New Roman" w:hAnsi="Times New Roman"/>
          <w:color w:val="000000"/>
          <w:sz w:val="24"/>
          <w:szCs w:val="24"/>
        </w:rPr>
        <w:t>Llanito</w:t>
      </w:r>
      <w:proofErr w:type="spellEnd"/>
      <w:r w:rsidRPr="00160FCC">
        <w:rPr>
          <w:rFonts w:ascii="Times New Roman" w:hAnsi="Times New Roman"/>
          <w:color w:val="000000"/>
          <w:sz w:val="24"/>
          <w:szCs w:val="24"/>
        </w:rPr>
        <w:t xml:space="preserve"> and Language Policy in Gibraltar: a Study with a Present-Day View of Linguistic Challenges” </w:t>
      </w:r>
      <w:proofErr w:type="spellStart"/>
      <w:r w:rsidRPr="00160FCC">
        <w:rPr>
          <w:rFonts w:ascii="Times New Roman" w:hAnsi="Times New Roman"/>
          <w:color w:val="000000"/>
          <w:sz w:val="24"/>
          <w:szCs w:val="24"/>
        </w:rPr>
        <w:t>Cuadernos</w:t>
      </w:r>
      <w:proofErr w:type="spellEnd"/>
      <w:r w:rsidRPr="00160FCC">
        <w:rPr>
          <w:rFonts w:ascii="Times New Roman" w:hAnsi="Times New Roman"/>
          <w:color w:val="000000"/>
          <w:sz w:val="24"/>
          <w:szCs w:val="24"/>
        </w:rPr>
        <w:t xml:space="preserve"> de Gibraltar/ Gibraltar Reports, </w:t>
      </w:r>
      <w:r w:rsidR="00A51BBF" w:rsidRPr="00160FCC">
        <w:rPr>
          <w:rFonts w:ascii="Times New Roman" w:hAnsi="Times New Roman"/>
          <w:color w:val="000000"/>
          <w:sz w:val="24"/>
          <w:szCs w:val="24"/>
        </w:rPr>
        <w:t>№</w:t>
      </w:r>
      <w:r w:rsidRPr="00160FCC">
        <w:rPr>
          <w:rFonts w:ascii="Times New Roman" w:hAnsi="Times New Roman"/>
          <w:color w:val="000000"/>
          <w:sz w:val="24"/>
          <w:szCs w:val="24"/>
        </w:rPr>
        <w:t>4. 2021</w:t>
      </w:r>
    </w:p>
    <w:p w14:paraId="0B14B130" w14:textId="77777777" w:rsidR="00957996" w:rsidRPr="00160FCC" w:rsidRDefault="00957996" w:rsidP="00160FC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DE3A3C" w14:textId="77777777" w:rsidR="00923825" w:rsidRPr="00160FCC" w:rsidRDefault="00923825" w:rsidP="0092382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23825" w:rsidRPr="00160FCC" w:rsidSect="00C45F10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E26C" w14:textId="77777777" w:rsidR="00C45F10" w:rsidRDefault="00C45F10" w:rsidP="00DF1910">
      <w:r>
        <w:separator/>
      </w:r>
    </w:p>
  </w:endnote>
  <w:endnote w:type="continuationSeparator" w:id="0">
    <w:p w14:paraId="0C65044B" w14:textId="77777777" w:rsidR="00C45F10" w:rsidRDefault="00C45F10" w:rsidP="00DF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D432" w14:textId="77777777" w:rsidR="00C45F10" w:rsidRDefault="00C45F10" w:rsidP="00DF1910">
      <w:r>
        <w:separator/>
      </w:r>
    </w:p>
  </w:footnote>
  <w:footnote w:type="continuationSeparator" w:id="0">
    <w:p w14:paraId="0089FF66" w14:textId="77777777" w:rsidR="00C45F10" w:rsidRDefault="00C45F10" w:rsidP="00DF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206177"/>
    <w:multiLevelType w:val="singleLevel"/>
    <w:tmpl w:val="EF2061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4871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B5"/>
    <w:rsid w:val="00010548"/>
    <w:rsid w:val="000303EA"/>
    <w:rsid w:val="000337B2"/>
    <w:rsid w:val="0005086C"/>
    <w:rsid w:val="000646D9"/>
    <w:rsid w:val="00074D70"/>
    <w:rsid w:val="00077EB8"/>
    <w:rsid w:val="00090830"/>
    <w:rsid w:val="00093CAD"/>
    <w:rsid w:val="000B6660"/>
    <w:rsid w:val="000B72C9"/>
    <w:rsid w:val="000F40F8"/>
    <w:rsid w:val="00137DC8"/>
    <w:rsid w:val="001555E9"/>
    <w:rsid w:val="00160FCC"/>
    <w:rsid w:val="00162CA0"/>
    <w:rsid w:val="0017104F"/>
    <w:rsid w:val="00172943"/>
    <w:rsid w:val="001920BC"/>
    <w:rsid w:val="001A4BC6"/>
    <w:rsid w:val="001B09AE"/>
    <w:rsid w:val="001B7C35"/>
    <w:rsid w:val="001E2F80"/>
    <w:rsid w:val="001E4533"/>
    <w:rsid w:val="001E5024"/>
    <w:rsid w:val="00200F73"/>
    <w:rsid w:val="0021488F"/>
    <w:rsid w:val="00235AA1"/>
    <w:rsid w:val="002434F4"/>
    <w:rsid w:val="0025788A"/>
    <w:rsid w:val="0027363B"/>
    <w:rsid w:val="00274038"/>
    <w:rsid w:val="00276F92"/>
    <w:rsid w:val="002C3218"/>
    <w:rsid w:val="002C34AE"/>
    <w:rsid w:val="00350779"/>
    <w:rsid w:val="003603DE"/>
    <w:rsid w:val="00385E6E"/>
    <w:rsid w:val="00392884"/>
    <w:rsid w:val="0039498D"/>
    <w:rsid w:val="003954AF"/>
    <w:rsid w:val="003A7CB6"/>
    <w:rsid w:val="003B5223"/>
    <w:rsid w:val="00405AFC"/>
    <w:rsid w:val="0041784A"/>
    <w:rsid w:val="00441E98"/>
    <w:rsid w:val="004529DA"/>
    <w:rsid w:val="004534CE"/>
    <w:rsid w:val="00471AE2"/>
    <w:rsid w:val="004B1B69"/>
    <w:rsid w:val="004C3AF3"/>
    <w:rsid w:val="004F4F84"/>
    <w:rsid w:val="00505DA9"/>
    <w:rsid w:val="005413B0"/>
    <w:rsid w:val="005604E1"/>
    <w:rsid w:val="00560A93"/>
    <w:rsid w:val="00573C5B"/>
    <w:rsid w:val="00577E06"/>
    <w:rsid w:val="005A147B"/>
    <w:rsid w:val="005A29F9"/>
    <w:rsid w:val="005C314B"/>
    <w:rsid w:val="005C59A6"/>
    <w:rsid w:val="005E19A3"/>
    <w:rsid w:val="005E74EB"/>
    <w:rsid w:val="00606760"/>
    <w:rsid w:val="006135D6"/>
    <w:rsid w:val="006175E9"/>
    <w:rsid w:val="00621EE0"/>
    <w:rsid w:val="00653333"/>
    <w:rsid w:val="006555A8"/>
    <w:rsid w:val="006873AE"/>
    <w:rsid w:val="00691206"/>
    <w:rsid w:val="00692A8C"/>
    <w:rsid w:val="00696482"/>
    <w:rsid w:val="006D45E7"/>
    <w:rsid w:val="006E242C"/>
    <w:rsid w:val="006E3C33"/>
    <w:rsid w:val="006F013E"/>
    <w:rsid w:val="00701138"/>
    <w:rsid w:val="007045E3"/>
    <w:rsid w:val="00706D12"/>
    <w:rsid w:val="007A77CA"/>
    <w:rsid w:val="007B51A6"/>
    <w:rsid w:val="007B64BA"/>
    <w:rsid w:val="007E66AB"/>
    <w:rsid w:val="007F74BA"/>
    <w:rsid w:val="00806A75"/>
    <w:rsid w:val="00817876"/>
    <w:rsid w:val="00853EF9"/>
    <w:rsid w:val="008656A4"/>
    <w:rsid w:val="00867CA1"/>
    <w:rsid w:val="00870AF5"/>
    <w:rsid w:val="008730D4"/>
    <w:rsid w:val="00886DDD"/>
    <w:rsid w:val="008951D2"/>
    <w:rsid w:val="008D3429"/>
    <w:rsid w:val="008D4B0C"/>
    <w:rsid w:val="008E34A5"/>
    <w:rsid w:val="00902612"/>
    <w:rsid w:val="00911109"/>
    <w:rsid w:val="00923825"/>
    <w:rsid w:val="00932AB5"/>
    <w:rsid w:val="00957996"/>
    <w:rsid w:val="009629F9"/>
    <w:rsid w:val="00974037"/>
    <w:rsid w:val="00995023"/>
    <w:rsid w:val="009A4463"/>
    <w:rsid w:val="009D78A2"/>
    <w:rsid w:val="00A05ACC"/>
    <w:rsid w:val="00A137CA"/>
    <w:rsid w:val="00A35B3A"/>
    <w:rsid w:val="00A51BBF"/>
    <w:rsid w:val="00A51E5F"/>
    <w:rsid w:val="00A57F95"/>
    <w:rsid w:val="00A73689"/>
    <w:rsid w:val="00A8023A"/>
    <w:rsid w:val="00AB2F2E"/>
    <w:rsid w:val="00AE7EE3"/>
    <w:rsid w:val="00AF041A"/>
    <w:rsid w:val="00B10653"/>
    <w:rsid w:val="00B1270C"/>
    <w:rsid w:val="00B224FE"/>
    <w:rsid w:val="00B266A5"/>
    <w:rsid w:val="00B40D78"/>
    <w:rsid w:val="00B620B4"/>
    <w:rsid w:val="00B663B5"/>
    <w:rsid w:val="00B917DF"/>
    <w:rsid w:val="00B96FD8"/>
    <w:rsid w:val="00C16979"/>
    <w:rsid w:val="00C45F10"/>
    <w:rsid w:val="00C500FB"/>
    <w:rsid w:val="00C65B07"/>
    <w:rsid w:val="00CA6FFF"/>
    <w:rsid w:val="00CB4430"/>
    <w:rsid w:val="00D025AE"/>
    <w:rsid w:val="00D52A0C"/>
    <w:rsid w:val="00D61467"/>
    <w:rsid w:val="00D63139"/>
    <w:rsid w:val="00D85E03"/>
    <w:rsid w:val="00DB6015"/>
    <w:rsid w:val="00DB7FD3"/>
    <w:rsid w:val="00DC6F1D"/>
    <w:rsid w:val="00DD3F36"/>
    <w:rsid w:val="00DF1910"/>
    <w:rsid w:val="00E44B87"/>
    <w:rsid w:val="00E5617A"/>
    <w:rsid w:val="00E572B2"/>
    <w:rsid w:val="00E9235E"/>
    <w:rsid w:val="00E94C2F"/>
    <w:rsid w:val="00E9639C"/>
    <w:rsid w:val="00EB703F"/>
    <w:rsid w:val="00EC0A7D"/>
    <w:rsid w:val="00F00140"/>
    <w:rsid w:val="00F13218"/>
    <w:rsid w:val="00F240F2"/>
    <w:rsid w:val="00F246B3"/>
    <w:rsid w:val="00F42B98"/>
    <w:rsid w:val="00F634B1"/>
    <w:rsid w:val="00F806CC"/>
    <w:rsid w:val="00FB3D4E"/>
    <w:rsid w:val="00FE3163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CADF"/>
  <w15:chartTrackingRefBased/>
  <w15:docId w15:val="{88BDF748-9084-4057-BE8C-14DA49B5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AB5"/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932AB5"/>
  </w:style>
  <w:style w:type="character" w:customStyle="1" w:styleId="a4">
    <w:name w:val="Текст примечания Знак"/>
    <w:link w:val="a3"/>
    <w:uiPriority w:val="99"/>
    <w:rsid w:val="00932AB5"/>
    <w:rPr>
      <w:rFonts w:eastAsia="Times New Roman"/>
      <w:sz w:val="20"/>
      <w:szCs w:val="20"/>
      <w:lang w:val="en-US" w:eastAsia="zh-CN"/>
    </w:rPr>
  </w:style>
  <w:style w:type="paragraph" w:styleId="a5">
    <w:name w:val="Normal (Web)"/>
    <w:qFormat/>
    <w:rsid w:val="00932AB5"/>
    <w:pPr>
      <w:spacing w:beforeAutospacing="1" w:afterAutospacing="1"/>
    </w:pPr>
    <w:rPr>
      <w:rFonts w:ascii="Times New Roman" w:eastAsia="SimSun" w:hAnsi="Times New Roman"/>
      <w:sz w:val="24"/>
      <w:szCs w:val="24"/>
      <w:lang w:eastAsia="zh-CN"/>
    </w:rPr>
  </w:style>
  <w:style w:type="table" w:styleId="a6">
    <w:name w:val="Table Grid"/>
    <w:basedOn w:val="a1"/>
    <w:qFormat/>
    <w:rsid w:val="00932AB5"/>
    <w:pPr>
      <w:widowControl w:val="0"/>
      <w:jc w:val="both"/>
    </w:pPr>
    <w:rPr>
      <w:rFonts w:ascii="Times New Roman" w:eastAsia="SimSu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0337B2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0337B2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337B2"/>
    <w:rPr>
      <w:rFonts w:eastAsia="Times New Roman"/>
      <w:b/>
      <w:bCs/>
      <w:sz w:val="20"/>
      <w:szCs w:val="20"/>
      <w:lang w:val="en-US" w:eastAsia="zh-CN"/>
    </w:rPr>
  </w:style>
  <w:style w:type="character" w:styleId="aa">
    <w:name w:val="Hyperlink"/>
    <w:uiPriority w:val="99"/>
    <w:unhideWhenUsed/>
    <w:rsid w:val="00FF66F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FF66F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077EB8"/>
    <w:rPr>
      <w:rFonts w:ascii="Times New Roman" w:hAnsi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77EB8"/>
    <w:rPr>
      <w:rFonts w:ascii="Times New Roman" w:eastAsia="Times New Roman" w:hAnsi="Times New Roman"/>
      <w:sz w:val="18"/>
      <w:szCs w:val="18"/>
      <w:lang w:val="en-US" w:eastAsia="zh-CN"/>
    </w:rPr>
  </w:style>
  <w:style w:type="paragraph" w:styleId="ad">
    <w:name w:val="Revision"/>
    <w:hidden/>
    <w:uiPriority w:val="99"/>
    <w:semiHidden/>
    <w:rsid w:val="00870AF5"/>
    <w:rPr>
      <w:rFonts w:eastAsia="Times New Roman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DF1910"/>
  </w:style>
  <w:style w:type="character" w:customStyle="1" w:styleId="af">
    <w:name w:val="Текст сноски Знак"/>
    <w:link w:val="ae"/>
    <w:uiPriority w:val="99"/>
    <w:semiHidden/>
    <w:rsid w:val="00DF1910"/>
    <w:rPr>
      <w:rFonts w:eastAsia="Times New Roman"/>
      <w:lang w:val="en-US" w:eastAsia="zh-CN"/>
    </w:rPr>
  </w:style>
  <w:style w:type="character" w:styleId="af0">
    <w:name w:val="footnote reference"/>
    <w:uiPriority w:val="99"/>
    <w:semiHidden/>
    <w:unhideWhenUsed/>
    <w:rsid w:val="00DF1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4969-AD8A-4BF5-98EE-734C4BE8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Фесюк</dc:creator>
  <cp:keywords/>
  <dc:description/>
  <cp:lastModifiedBy>User</cp:lastModifiedBy>
  <cp:revision>2</cp:revision>
  <dcterms:created xsi:type="dcterms:W3CDTF">2024-02-16T17:50:00Z</dcterms:created>
  <dcterms:modified xsi:type="dcterms:W3CDTF">2024-02-16T17:50:00Z</dcterms:modified>
</cp:coreProperties>
</file>