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Средства сохранения коллективной памяти в детской литературе Литвы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Асцатурян Лаура Кареновна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Аспирантка Национального исследовательского университета «Высшая школа экономики», Москва, Россия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Воспоминания о жизни в ссылке - объединяющий мотив современного литовского общества и литовской идентичности как внутри страны, так и за рубежом. О жизни литовцев в Сибири рассказывается не только взрослым, но и подросткам, и детям. Доклад посвящен особенностям трансляции детям Литвы коллективной травмы, сохранения коллективной памяти о депортации в Сибирь на примере книги Юрги Виле “Сибирские хайку” (хокку), созданной в жанре комикса и представляющей собой поликодовый текст. [Виле 2017]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Наиболее полно вопрос репрезентации травмы в детской литературе рассмотрен на примере Холокоста, память о котором является одной из важнейших частей еврейской идентичности. Для россиян таким событием становится Великая Отечественная война, литовцы поддерживают память о депортации в Сибирь.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Э.Байер определяет цель написания книг и создания фильмов для детей о Холокосте как необходимость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предупредить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 опасности через эмоции, факты и память, сформировать понимание зла, и чувство собственной ответственности по отношению к сложным событиям [Baer 2000: 384-386]. Как отмечает Смит К. С., чтобы показать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травму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но не травмировать, показать невзгоды, но и не навредить психике, необходимо вести рассказ от имени ребенка [Смит К. С. 2005]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анализе произведения для детей Юрги Виле “Сибирские хайку” мы уделяли внимание средствам воздействия на эмоциональную сферу ребенка и формирования его объективных знаний о Сибири и России [Виле там же]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эмоциональное восприятие событий жизни в Сибири влияет  визуальный ряд в серо-коричневых тонах, тексты писем о жизни в Сибири, представленных как копии, содержание официальных писем о статусе ссыльных и просто записки друг другу, мистический посыл («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 потолком вагона парят души-душеньки – они не всем видны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»), словесные образы: «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Плывут облака, в животе тоска, ждут ли нас домой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», «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печаль, словно клещами, зажала ее голос»; «Внезапно, на деревню Рагяляй опустилась тьма»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как антитеза семейному ужину. Само соотношение текстов на литовском и русском языках играет свою роль: на русском можно увидеть правительственные телеграммы и прошение о возвращении, а на литовском – переписка с родными. Отражено также переключение кодов, вставки слов на русском, написанные латиницей с литовской орфографией “choroso”, “koroče”, “da nu”, в детской речи встречаются и обзывательства (“duraki”); в речи военных: “molčat”, “davai”, “vot skotina”, “nielzia”. </w:t>
      </w:r>
    </w:p>
    <w:p w:rsidR="00000000" w:rsidDel="00000000" w:rsidP="00000000" w:rsidRDefault="00000000" w:rsidRPr="00000000" w14:paraId="0000000A">
      <w:pPr>
        <w:spacing w:after="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Важно отметить и само восприятие Сибири. Сибирь для депортированных литовцев - безгранична (“За Уральскими горами - конец [мира]”, край, где «Холодно»), включает в себя практически всю территорию России, куда направляли в депортацию. Интересно, что так же Сибирь видели и ссыльные поляки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Михалик 2014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ffe5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Литве историческому периоду сороковых годов уделяется пристальное внимание как средству формирования идентичности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Klumbytė 2002: 281-283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Тема репрессий в школьных учебниках Литвы занимает одно из центральных мест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Панов В.А., Йонутите К. 2017: 337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Разделы о репрессиях входят в курс 5 и 10 классов, темы оккупация Литвы и полевоенных патизан («лесных братьев») изучается уже в 3-4 классах.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ffe599" w:val="clear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ffe5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Виле Ю. Сибирские хайку. М.,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Панов В.А., Йонутите К. Положение жертв политических репрессий и геноцида в Литовской Республике // Реабилитация и память: отношение к жертвам советских политических репрессий в странах бывшего СССР. М., 2016. С.331-338.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Klumbytė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N. Ethnographic Note on Nation: Narratives and Symbols of the Early Post-Socialist Nationalism in Lithuania // Dialectical Anthropology, 2002. Vol. 27(3).  P.279–295.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Baer E. A New Algorithm in Evil: Children’s Literature in a Post-Holocaust World // The Lion and the Unicorn, 2000. Vol. 24(3). P.378-401.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Smith K. C. Forum: Trauma and Children’s Literature. Children’s Literature, 2005. Vol. 33 (1). P.115–119.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701E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 w:val="1"/>
    <w:unhideWhenUsed w:val="1"/>
    <w:rsid w:val="0007022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EXFOyExfHavEWxCl0zHVyyjo1Q==">CgMxLjAyCGguZ2pkZ3hzOAByITFHSl9aQ0N4RmozV29FVG9fcGg2Ym1iOUU5WGpCV1JYRw==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2024-02-16T15:39:00Z</dcterms:created>
  <dc:creator>Ольга Владимировна</dc:creator>
</cp:coreProperties>
</file>