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1B540" w14:textId="298729F1" w:rsidR="00582924" w:rsidRPr="00BC0566" w:rsidRDefault="00582924" w:rsidP="005829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Влияние энергетического спектра</w:t>
      </w:r>
      <w:r w:rsidRPr="00BC0566">
        <w:rPr>
          <w:rFonts w:ascii="Times New Roman" w:hAnsi="Times New Roman" w:cs="Times New Roman"/>
          <w:b/>
          <w:sz w:val="24"/>
          <w:szCs w:val="24"/>
        </w:rPr>
        <w:t xml:space="preserve"> пучка электронов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на распределение поглощенной дозы </w:t>
      </w:r>
      <w:r w:rsidRPr="00BC0566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облучаемых </w:t>
      </w:r>
      <w:r w:rsidRPr="00BC0566">
        <w:rPr>
          <w:rFonts w:ascii="Times New Roman" w:hAnsi="Times New Roman" w:cs="Times New Roman"/>
          <w:b/>
          <w:sz w:val="24"/>
          <w:szCs w:val="24"/>
        </w:rPr>
        <w:t>объектах</w:t>
      </w:r>
      <w:r w:rsidR="00A64529" w:rsidRPr="00A64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529" w:rsidRPr="00C23130">
        <w:rPr>
          <w:rFonts w:ascii="Times New Roman" w:hAnsi="Times New Roman" w:cs="Times New Roman"/>
          <w:b/>
          <w:sz w:val="24"/>
          <w:szCs w:val="24"/>
        </w:rPr>
        <w:t>различной геометрии</w:t>
      </w:r>
      <w:r w:rsidRPr="00BC05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733EAE" w14:textId="51CAA1C5" w:rsidR="00F65671" w:rsidRPr="00BC0566" w:rsidRDefault="003A04BC" w:rsidP="00F65671">
      <w:pPr>
        <w:widowControl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566">
        <w:rPr>
          <w:rFonts w:ascii="Times New Roman" w:eastAsia="Times New Roman" w:hAnsi="Times New Roman" w:cs="Times New Roman"/>
          <w:b/>
          <w:i/>
          <w:sz w:val="24"/>
          <w:szCs w:val="24"/>
        </w:rPr>
        <w:t>Любомудров А.П</w:t>
      </w:r>
      <w:r w:rsidR="00F65671" w:rsidRPr="00BC0566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F65671" w:rsidRPr="00BC0566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F65671" w:rsidRPr="00BC056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 Золотов</w:t>
      </w:r>
      <w:r w:rsidR="00F65671" w:rsidRPr="00BC0566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 </w:t>
      </w:r>
      <w:r w:rsidR="00F65671" w:rsidRPr="00BC056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С.А.</w:t>
      </w:r>
      <w:r w:rsidR="00F65671" w:rsidRPr="00BC0566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</w:p>
    <w:p w14:paraId="5B38584D" w14:textId="77777777" w:rsidR="00165574" w:rsidRPr="00BC0566" w:rsidRDefault="00F65671" w:rsidP="00F656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C05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0566">
        <w:rPr>
          <w:rFonts w:ascii="Times New Roman" w:hAnsi="Times New Roman" w:cs="Times New Roman"/>
          <w:sz w:val="24"/>
          <w:szCs w:val="24"/>
        </w:rPr>
        <w:t>Студент, 2 курс специалитета</w:t>
      </w:r>
    </w:p>
    <w:p w14:paraId="1BA05991" w14:textId="77777777" w:rsidR="00F65671" w:rsidRPr="00BC0566" w:rsidRDefault="00F65671" w:rsidP="00F65671">
      <w:pPr>
        <w:widowControl w:val="0"/>
        <w:spacing w:after="1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056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Pr="00BC0566"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 В. Ломоносова, </w:t>
      </w:r>
      <w:r w:rsidRPr="00BC0566">
        <w:rPr>
          <w:sz w:val="24"/>
          <w:szCs w:val="24"/>
        </w:rPr>
        <w:br/>
      </w:r>
      <w:r w:rsidRPr="00BC0566">
        <w:rPr>
          <w:rFonts w:ascii="Times New Roman" w:eastAsia="Times New Roman" w:hAnsi="Times New Roman" w:cs="Times New Roman"/>
          <w:i/>
          <w:sz w:val="24"/>
          <w:szCs w:val="24"/>
        </w:rPr>
        <w:t>физический факультет, Москва, Россия,</w:t>
      </w:r>
    </w:p>
    <w:p w14:paraId="7198D01D" w14:textId="77777777" w:rsidR="00F65671" w:rsidRPr="00BC0566" w:rsidRDefault="00F65671" w:rsidP="00F65671">
      <w:pPr>
        <w:widowControl w:val="0"/>
        <w:spacing w:after="1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BC05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r w:rsidR="003A04BC" w:rsidRPr="00BC056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liubomudrov.ap22@physics.msu.ru</w:t>
      </w:r>
    </w:p>
    <w:p w14:paraId="7A06477E" w14:textId="669326B9" w:rsidR="003715C9" w:rsidRDefault="003715C9" w:rsidP="003715C9">
      <w:pPr>
        <w:widowControl w:val="0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сегодняшний день ускорительная техника и радиационные технологии наход</w:t>
      </w:r>
      <w:r w:rsidR="00C23130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применение в множестве разнообразных сфер человеческой деятельности: науке, медицине, пищевой промышленности, безопасности и др. [1]. Важным аспектом успешного применения ускорителей заряженных частиц является оценка ожидаемого распределения поглощенной дозы по объему облучаемого объекта. Для компьютерного моделирования прохождения ионизирующего излучения через вещество широкое распространение получил метод Монте-Карло [2]. Для точного расчета распределения поглощенной дозы по объему обрабатываемого объекта, необходимо задавать энергетический спектра пучка электронов [4, 5, 6]. Однако, на практике, особенно при промышленной радиационной обработке, </w:t>
      </w:r>
      <w:r w:rsidR="00A16085">
        <w:rPr>
          <w:rFonts w:ascii="Times New Roman" w:eastAsia="Times New Roman" w:hAnsi="Times New Roman" w:cs="Times New Roman"/>
          <w:sz w:val="24"/>
          <w:szCs w:val="24"/>
        </w:rPr>
        <w:t xml:space="preserve">точный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спектр может быть неизвестен и при расчете методом Монте-Карло упрощается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моноэнергетичным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пучком с наиболее вероятной энергией [7].</w:t>
      </w:r>
    </w:p>
    <w:p w14:paraId="5DF199A5" w14:textId="01E4ED24" w:rsidR="003715C9" w:rsidRDefault="003715C9" w:rsidP="003715C9"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данной работы являлась оценка влияния энергетического спектра пучка электронов </w:t>
      </w:r>
      <w:r w:rsidR="00A16085">
        <w:rPr>
          <w:rFonts w:ascii="Times New Roman" w:eastAsia="Times New Roman" w:hAnsi="Times New Roman" w:cs="Times New Roman"/>
          <w:sz w:val="24"/>
          <w:szCs w:val="24"/>
        </w:rPr>
        <w:t xml:space="preserve">с энергией до 10 МэВ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распределение поглощенной дозы по </w:t>
      </w:r>
      <w:r w:rsidR="00A16085">
        <w:rPr>
          <w:rFonts w:ascii="Times New Roman" w:eastAsia="Times New Roman" w:hAnsi="Times New Roman" w:cs="Times New Roman"/>
          <w:sz w:val="24"/>
          <w:szCs w:val="24"/>
        </w:rPr>
        <w:t>объему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085">
        <w:rPr>
          <w:rFonts w:ascii="Times New Roman" w:eastAsia="Times New Roman" w:hAnsi="Times New Roman" w:cs="Times New Roman"/>
          <w:sz w:val="24"/>
          <w:szCs w:val="24"/>
        </w:rPr>
        <w:t>облучаемых водных фантомов в форме куба и сферы.</w:t>
      </w:r>
    </w:p>
    <w:p w14:paraId="18A025F0" w14:textId="2D06C6AF" w:rsidR="003715C9" w:rsidRDefault="003715C9" w:rsidP="003715C9"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Было проведено компьютерное моделирование облучения объектов разными типами пучков электронов, представленными на рис. 1</w:t>
      </w:r>
      <w:r w:rsidR="00A16085">
        <w:rPr>
          <w:rFonts w:ascii="Times New Roman" w:eastAsia="Times New Roman" w:hAnsi="Times New Roman" w:cs="Times New Roman"/>
          <w:sz w:val="24"/>
          <w:szCs w:val="24"/>
        </w:rPr>
        <w:t xml:space="preserve">. Первый пучок, представленный </w:t>
      </w:r>
      <w:r w:rsidR="00A16085">
        <w:rPr>
          <w:rFonts w:ascii="Times New Roman" w:eastAsia="Times New Roman" w:hAnsi="Times New Roman" w:cs="Times New Roman"/>
          <w:sz w:val="24"/>
          <w:szCs w:val="24"/>
        </w:rPr>
        <w:br/>
        <w:t xml:space="preserve">на </w:t>
      </w:r>
      <w:r w:rsidR="00A16085" w:rsidRPr="00A16085">
        <w:rPr>
          <w:rFonts w:ascii="Times New Roman" w:eastAsia="Times New Roman" w:hAnsi="Times New Roman" w:cs="Times New Roman"/>
          <w:i/>
          <w:iCs/>
          <w:sz w:val="24"/>
          <w:szCs w:val="24"/>
        </w:rPr>
        <w:t>рис. 1 - а</w:t>
      </w:r>
      <w:r w:rsidR="00A16085">
        <w:rPr>
          <w:rFonts w:ascii="Times New Roman" w:eastAsia="Times New Roman" w:hAnsi="Times New Roman" w:cs="Times New Roman"/>
          <w:sz w:val="24"/>
          <w:szCs w:val="24"/>
        </w:rPr>
        <w:t xml:space="preserve">, задавался как </w:t>
      </w:r>
      <w:r>
        <w:rPr>
          <w:rFonts w:ascii="Times New Roman" w:eastAsia="Times New Roman" w:hAnsi="Times New Roman" w:cs="Times New Roman"/>
          <w:sz w:val="24"/>
          <w:szCs w:val="24"/>
        </w:rPr>
        <w:t>моноэнергетически</w:t>
      </w:r>
      <w:r w:rsidR="00A16085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энергией 9 МэВ</w:t>
      </w:r>
      <w:r w:rsidR="00A16085">
        <w:rPr>
          <w:rFonts w:ascii="Times New Roman" w:eastAsia="Times New Roman" w:hAnsi="Times New Roman" w:cs="Times New Roman"/>
          <w:sz w:val="24"/>
          <w:szCs w:val="24"/>
        </w:rPr>
        <w:t>. Второй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пучком, </w:t>
      </w:r>
      <w:r w:rsidR="00A16085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представленный на </w:t>
      </w:r>
      <w:r w:rsidR="00A16085" w:rsidRPr="00A160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рис. 1 - </w:t>
      </w:r>
      <w:r w:rsidR="00A16085">
        <w:rPr>
          <w:rFonts w:ascii="Times New Roman" w:eastAsia="Times New Roman" w:hAnsi="Times New Roman" w:cs="Times New Roman"/>
          <w:i/>
          <w:iCs/>
          <w:sz w:val="24"/>
          <w:szCs w:val="24"/>
        </w:rPr>
        <w:t>б</w:t>
      </w:r>
      <w:r w:rsidR="00A16085">
        <w:rPr>
          <w:rFonts w:ascii="Times New Roman" w:eastAsia="Times New Roman" w:hAnsi="Times New Roman" w:cs="Times New Roman"/>
          <w:sz w:val="24"/>
          <w:szCs w:val="24"/>
        </w:rPr>
        <w:t>, задавался как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085">
        <w:rPr>
          <w:rFonts w:ascii="Times New Roman" w:eastAsia="Times New Roman" w:hAnsi="Times New Roman" w:cs="Times New Roman"/>
          <w:sz w:val="24"/>
          <w:szCs w:val="24"/>
        </w:rPr>
        <w:t xml:space="preserve">модельный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спектр </w:t>
      </w:r>
      <w:r w:rsidR="00A16085">
        <w:rPr>
          <w:rFonts w:ascii="Times New Roman" w:eastAsia="Times New Roman" w:hAnsi="Times New Roman" w:cs="Times New Roman"/>
          <w:sz w:val="24"/>
          <w:szCs w:val="24"/>
        </w:rPr>
        <w:t>линейного ускорителя электронов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16085" w:rsidRPr="00A16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085">
        <w:rPr>
          <w:rFonts w:ascii="Times New Roman" w:eastAsia="Times New Roman" w:hAnsi="Times New Roman" w:cs="Times New Roman"/>
          <w:sz w:val="24"/>
          <w:szCs w:val="24"/>
        </w:rPr>
        <w:t>Поперечный размер каждого пучка составлял 6 см × 6 см, количество электронов в пучке – 10</w:t>
      </w:r>
      <w:r w:rsidR="00A16085" w:rsidRPr="00207A0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A16085">
        <w:rPr>
          <w:rFonts w:ascii="Times New Roman" w:eastAsia="Times New Roman" w:hAnsi="Times New Roman" w:cs="Times New Roman"/>
          <w:sz w:val="24"/>
          <w:szCs w:val="24"/>
        </w:rPr>
        <w:t xml:space="preserve">. Для реализации метода Монте-Карло в данной работе был использован программный пакет </w:t>
      </w:r>
      <w:proofErr w:type="spellStart"/>
      <w:r w:rsidR="00A16085">
        <w:rPr>
          <w:rFonts w:ascii="Times New Roman" w:eastAsia="Times New Roman" w:hAnsi="Times New Roman" w:cs="Times New Roman"/>
          <w:sz w:val="24"/>
          <w:szCs w:val="24"/>
          <w:lang w:val="en-US"/>
        </w:rPr>
        <w:t>Geant</w:t>
      </w:r>
      <w:proofErr w:type="spellEnd"/>
      <w:r w:rsidR="00A16085">
        <w:rPr>
          <w:rFonts w:ascii="Times New Roman" w:eastAsia="Times New Roman" w:hAnsi="Times New Roman" w:cs="Times New Roman"/>
          <w:sz w:val="24"/>
          <w:szCs w:val="24"/>
        </w:rPr>
        <w:t xml:space="preserve">4, разработанный </w:t>
      </w:r>
      <w:r w:rsidR="00A16085" w:rsidRPr="00A16085">
        <w:rPr>
          <w:rFonts w:ascii="Times New Roman" w:eastAsia="Times New Roman" w:hAnsi="Times New Roman" w:cs="Times New Roman"/>
          <w:sz w:val="24"/>
          <w:szCs w:val="24"/>
        </w:rPr>
        <w:t xml:space="preserve">Geant4 </w:t>
      </w:r>
      <w:proofErr w:type="spellStart"/>
      <w:r w:rsidR="00A16085" w:rsidRPr="00A16085">
        <w:rPr>
          <w:rFonts w:ascii="Times New Roman" w:eastAsia="Times New Roman" w:hAnsi="Times New Roman" w:cs="Times New Roman"/>
          <w:sz w:val="24"/>
          <w:szCs w:val="24"/>
        </w:rPr>
        <w:t>Collaboration</w:t>
      </w:r>
      <w:proofErr w:type="spellEnd"/>
      <w:r w:rsidR="00A1608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A16085">
        <w:rPr>
          <w:rFonts w:ascii="Times New Roman" w:eastAsia="Times New Roman" w:hAnsi="Times New Roman" w:cs="Times New Roman"/>
          <w:sz w:val="24"/>
          <w:szCs w:val="24"/>
          <w:lang w:val="en-US"/>
        </w:rPr>
        <w:t>CERN</w:t>
      </w:r>
      <w:r w:rsidR="00A16085">
        <w:rPr>
          <w:rFonts w:ascii="Times New Roman" w:eastAsia="Times New Roman" w:hAnsi="Times New Roman" w:cs="Times New Roman"/>
          <w:sz w:val="24"/>
          <w:szCs w:val="24"/>
        </w:rPr>
        <w:t xml:space="preserve"> [3].</w:t>
      </w:r>
    </w:p>
    <w:p w14:paraId="5DE84743" w14:textId="322EFC80" w:rsidR="00BE0672" w:rsidRDefault="009F775C" w:rsidP="009F775C">
      <w:pPr>
        <w:widowControl w:val="0"/>
        <w:spacing w:after="120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sz w:val="24"/>
          <w:szCs w:val="24"/>
        </w:rPr>
        <w:pict w14:anchorId="07FF98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223pt;height:171pt">
            <v:imagedata r:id="rId6" o:title="Graph2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sz w:val="24"/>
          <w:szCs w:val="24"/>
        </w:rPr>
        <w:pict w14:anchorId="26897DD7">
          <v:shape id="_x0000_i1060" type="#_x0000_t75" style="width:224pt;height:171.5pt">
            <v:imagedata r:id="rId7" o:title="Graph3"/>
          </v:shape>
        </w:pict>
      </w:r>
      <w:r w:rsidR="00BE0672">
        <w:rPr>
          <w:rFonts w:ascii="Times New Roman" w:eastAsia="Times New Roman" w:hAnsi="Times New Roman" w:cs="Times New Roman"/>
          <w:sz w:val="24"/>
          <w:szCs w:val="24"/>
        </w:rPr>
        <w:br/>
      </w:r>
      <w:r w:rsidR="003715C9" w:rsidRPr="00BE0672">
        <w:rPr>
          <w:rFonts w:ascii="Times New Roman" w:eastAsia="Times New Roman" w:hAnsi="Times New Roman" w:cs="Times New Roman"/>
          <w:i/>
          <w:sz w:val="24"/>
          <w:szCs w:val="24"/>
        </w:rPr>
        <w:t>Рис</w:t>
      </w:r>
      <w:r w:rsidR="003715C9">
        <w:rPr>
          <w:rFonts w:ascii="Times New Roman" w:eastAsia="Times New Roman" w:hAnsi="Times New Roman" w:cs="Times New Roman"/>
          <w:i/>
          <w:sz w:val="24"/>
          <w:szCs w:val="24"/>
        </w:rPr>
        <w:t>унок</w:t>
      </w:r>
      <w:r w:rsidR="003715C9" w:rsidRPr="00BE0672">
        <w:rPr>
          <w:rFonts w:ascii="Times New Roman" w:eastAsia="Times New Roman" w:hAnsi="Times New Roman" w:cs="Times New Roman"/>
          <w:i/>
          <w:sz w:val="24"/>
          <w:szCs w:val="24"/>
        </w:rPr>
        <w:t xml:space="preserve"> 1</w:t>
      </w:r>
      <w:r w:rsidR="003715C9" w:rsidRPr="00407B6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715C9">
        <w:rPr>
          <w:rFonts w:ascii="Times New Roman" w:eastAsia="Times New Roman" w:hAnsi="Times New Roman" w:cs="Times New Roman"/>
          <w:i/>
          <w:sz w:val="24"/>
          <w:szCs w:val="24"/>
        </w:rPr>
        <w:t xml:space="preserve"> Распределение количества </w:t>
      </w:r>
      <w:r w:rsidR="003715C9" w:rsidRPr="00B14848">
        <w:rPr>
          <w:rFonts w:ascii="Times New Roman" w:eastAsia="Times New Roman" w:hAnsi="Times New Roman" w:cs="Times New Roman"/>
          <w:i/>
          <w:sz w:val="24"/>
          <w:szCs w:val="24"/>
        </w:rPr>
        <w:t>электронов</w:t>
      </w:r>
      <w:r w:rsidR="003715C9">
        <w:rPr>
          <w:rFonts w:ascii="Times New Roman" w:eastAsia="Times New Roman" w:hAnsi="Times New Roman" w:cs="Times New Roman"/>
          <w:i/>
          <w:sz w:val="24"/>
          <w:szCs w:val="24"/>
        </w:rPr>
        <w:t xml:space="preserve"> в пучке по энергии</w:t>
      </w:r>
      <w:r w:rsidR="003715C9" w:rsidRPr="00B14848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3715C9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3715C9" w:rsidRPr="00B14848">
        <w:rPr>
          <w:rFonts w:ascii="Times New Roman" w:eastAsia="Times New Roman" w:hAnsi="Times New Roman" w:cs="Times New Roman"/>
          <w:i/>
          <w:sz w:val="24"/>
          <w:szCs w:val="24"/>
        </w:rPr>
        <w:t xml:space="preserve"> а) – </w:t>
      </w:r>
      <w:proofErr w:type="spellStart"/>
      <w:r w:rsidR="003715C9">
        <w:rPr>
          <w:rFonts w:ascii="Times New Roman" w:eastAsia="Times New Roman" w:hAnsi="Times New Roman" w:cs="Times New Roman"/>
          <w:i/>
          <w:sz w:val="24"/>
          <w:szCs w:val="24"/>
        </w:rPr>
        <w:t>моноэнергия</w:t>
      </w:r>
      <w:proofErr w:type="spellEnd"/>
      <w:r w:rsidR="003715C9">
        <w:rPr>
          <w:rFonts w:ascii="Times New Roman" w:eastAsia="Times New Roman" w:hAnsi="Times New Roman" w:cs="Times New Roman"/>
          <w:i/>
          <w:sz w:val="24"/>
          <w:szCs w:val="24"/>
        </w:rPr>
        <w:t xml:space="preserve"> 9 МэВ</w:t>
      </w:r>
      <w:r w:rsidR="003715C9" w:rsidRPr="00B14848">
        <w:rPr>
          <w:rFonts w:ascii="Times New Roman" w:eastAsia="Times New Roman" w:hAnsi="Times New Roman" w:cs="Times New Roman"/>
          <w:i/>
          <w:sz w:val="24"/>
          <w:szCs w:val="24"/>
        </w:rPr>
        <w:t xml:space="preserve">, б) – </w:t>
      </w:r>
      <w:r w:rsidR="003715C9">
        <w:rPr>
          <w:rFonts w:ascii="Times New Roman" w:eastAsia="Times New Roman" w:hAnsi="Times New Roman" w:cs="Times New Roman"/>
          <w:i/>
          <w:sz w:val="24"/>
          <w:szCs w:val="24"/>
        </w:rPr>
        <w:t>распределение</w:t>
      </w:r>
      <w:r w:rsidR="003715C9" w:rsidRPr="00B14848">
        <w:rPr>
          <w:rFonts w:ascii="Times New Roman" w:eastAsia="Times New Roman" w:hAnsi="Times New Roman" w:cs="Times New Roman"/>
          <w:i/>
          <w:sz w:val="24"/>
          <w:szCs w:val="24"/>
        </w:rPr>
        <w:t xml:space="preserve"> Ландау</w:t>
      </w:r>
      <w:r w:rsidR="003715C9">
        <w:rPr>
          <w:rFonts w:ascii="Times New Roman" w:eastAsia="Times New Roman" w:hAnsi="Times New Roman" w:cs="Times New Roman"/>
          <w:i/>
          <w:sz w:val="24"/>
          <w:szCs w:val="24"/>
        </w:rPr>
        <w:t xml:space="preserve"> от 0 до 10 МэВ</w:t>
      </w:r>
    </w:p>
    <w:p w14:paraId="3302CB21" w14:textId="5E2E50A6" w:rsidR="00DD6AC2" w:rsidRDefault="003715C9" w:rsidP="00DD6AC2">
      <w:pPr>
        <w:widowControl w:val="0"/>
        <w:spacing w:after="120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Модельные объекты задавались в виде куба и сферы из воды. Материалом объектов была выбрана вода, так как стационарные водные фантомы широко применяются для проведения дозиметрических измерений излучения фотонов и электронов [</w:t>
      </w:r>
      <w:r w:rsidRPr="00D419B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]. Ребро куба –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 см, диаметр сферы – 6 см. Расстояние от источника до объекта – 5 мм, среда прохождения пучка до объекта – воздух. Схема моделируемого облучения представлена на рис. 2.</w:t>
      </w:r>
    </w:p>
    <w:p w14:paraId="31D8CABF" w14:textId="1A5FEE0C" w:rsidR="009F775C" w:rsidRDefault="0052566A" w:rsidP="0052566A">
      <w:pPr>
        <w:widowControl w:val="0"/>
        <w:spacing w:after="120"/>
        <w:ind w:left="-709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pict w14:anchorId="6D889142">
          <v:shape id="_x0000_i1027" type="#_x0000_t75" style="width:239.5pt;height:192pt">
            <v:imagedata r:id="rId8" o:title="Кубэксп1"/>
          </v:shape>
        </w:pic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pict w14:anchorId="4CC2B6BB">
          <v:shape id="_x0000_i1030" type="#_x0000_t75" style="width:239.5pt;height:192pt">
            <v:imagedata r:id="rId9" o:title="Сферэксп1"/>
          </v:shape>
        </w:pict>
      </w:r>
    </w:p>
    <w:p w14:paraId="0D377926" w14:textId="203797F2" w:rsidR="00FA2F15" w:rsidRPr="001A1170" w:rsidRDefault="00FA2F15" w:rsidP="001A1170">
      <w:pPr>
        <w:widowControl w:val="0"/>
        <w:spacing w:after="120"/>
        <w:ind w:left="-709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42F5736" w14:textId="77777777" w:rsidR="00FA2F15" w:rsidRDefault="00FA2F15" w:rsidP="00FA2F15">
      <w:pPr>
        <w:widowControl w:val="0"/>
        <w:spacing w:after="120"/>
        <w:ind w:left="-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47317321" w14:textId="77777777" w:rsidR="00FA2F15" w:rsidRPr="00FA2F15" w:rsidRDefault="00FA2F15" w:rsidP="00FA2F15">
      <w:pPr>
        <w:widowControl w:val="0"/>
        <w:spacing w:after="120"/>
        <w:ind w:left="-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br/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br/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1111111111111</w:t>
      </w:r>
    </w:p>
    <w:p w14:paraId="731F3B8B" w14:textId="77777777" w:rsidR="003715C9" w:rsidRDefault="003715C9" w:rsidP="003715C9">
      <w:pPr>
        <w:widowControl w:val="0"/>
        <w:spacing w:after="120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Рисунок 2. Схема облучения модельных объектов из воды ускоренными электронами: а) куб, б) сфера</w:t>
      </w:r>
    </w:p>
    <w:p w14:paraId="7AC20AE0" w14:textId="4665C06C" w:rsidR="003715C9" w:rsidRPr="00B14848" w:rsidRDefault="003715C9" w:rsidP="003715C9"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исследования, было установлено, что упрощение энергетического спектра пучка при моделировании моноэнергетическим пучком приводит к ошибке, которую необходимо учитывать </w:t>
      </w:r>
      <w:r w:rsidR="00C23130">
        <w:rPr>
          <w:rFonts w:ascii="Times New Roman" w:eastAsia="Times New Roman" w:hAnsi="Times New Roman" w:cs="Times New Roman"/>
          <w:sz w:val="24"/>
          <w:szCs w:val="24"/>
        </w:rPr>
        <w:t>при планировании облучения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При этом ошибка зависит не только от различий между реальным спектром пучка </w:t>
      </w:r>
      <w:r w:rsidR="00C23130">
        <w:rPr>
          <w:rFonts w:ascii="Times New Roman" w:eastAsia="Times New Roman" w:hAnsi="Times New Roman" w:cs="Times New Roman"/>
          <w:sz w:val="24"/>
          <w:szCs w:val="24"/>
        </w:rPr>
        <w:t>ускорителя электронов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упрощенным моноэнергетическим спектром, заданным при моделировании, но также имеет свое значение для объектов различной геометрии.</w:t>
      </w:r>
    </w:p>
    <w:p w14:paraId="01282B31" w14:textId="7470779E" w:rsidR="003715C9" w:rsidRPr="00616E7A" w:rsidRDefault="003715C9" w:rsidP="00616E7A">
      <w:pPr>
        <w:suppressAutoHyphens/>
        <w:spacing w:after="12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16E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Исследование выполнено под научным руководством ассистента кафедры физики ускорителей и радиационной медицины физического факультета МГУ, </w:t>
      </w:r>
      <w:r w:rsidR="00616E7A" w:rsidRPr="00616E7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616E7A">
        <w:rPr>
          <w:rFonts w:ascii="Times New Roman" w:eastAsia="Times New Roman" w:hAnsi="Times New Roman" w:cs="Times New Roman"/>
          <w:i/>
          <w:iCs/>
          <w:sz w:val="24"/>
          <w:szCs w:val="24"/>
        </w:rPr>
        <w:t>к.ф.-м.н.</w:t>
      </w:r>
      <w:r w:rsidR="00616E7A" w:rsidRPr="00616E7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616E7A">
        <w:rPr>
          <w:rFonts w:ascii="Times New Roman" w:eastAsia="Times New Roman" w:hAnsi="Times New Roman" w:cs="Times New Roman"/>
          <w:i/>
          <w:iCs/>
          <w:sz w:val="24"/>
          <w:szCs w:val="24"/>
        </w:rPr>
        <w:t>Студеникина Ф.Р. в рамках Программы развития Междисциплинарной научно-образовательной школы Московского университета «Фотонные и квантовые технологии. Цифровая медицина».</w:t>
      </w:r>
    </w:p>
    <w:p w14:paraId="300EB280" w14:textId="77777777" w:rsidR="00631895" w:rsidRPr="00BC0566" w:rsidRDefault="00BC0566" w:rsidP="00631895"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566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литературы:</w:t>
      </w:r>
    </w:p>
    <w:p w14:paraId="3EE292F2" w14:textId="77777777" w:rsidR="00BC0566" w:rsidRPr="00BC0566" w:rsidRDefault="00BC0566" w:rsidP="00BC05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66">
        <w:rPr>
          <w:rFonts w:ascii="Times New Roman" w:eastAsia="Times New Roman" w:hAnsi="Times New Roman" w:cs="Times New Roman"/>
          <w:i/>
          <w:sz w:val="24"/>
          <w:szCs w:val="24"/>
        </w:rPr>
        <w:t>Черняев А.П.</w:t>
      </w:r>
      <w:r w:rsidRPr="00BC0566">
        <w:rPr>
          <w:rFonts w:ascii="Times New Roman" w:eastAsia="Times New Roman" w:hAnsi="Times New Roman" w:cs="Times New Roman"/>
          <w:sz w:val="24"/>
          <w:szCs w:val="24"/>
        </w:rPr>
        <w:t xml:space="preserve"> Радиационные технологии: наука, народное хозяйство, медицина. М.: КДУ, 2018 </w:t>
      </w:r>
    </w:p>
    <w:p w14:paraId="152C1B78" w14:textId="77777777" w:rsidR="00BC0566" w:rsidRPr="00D056D9" w:rsidRDefault="00C77A07" w:rsidP="00C77A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56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Editor E. B. </w:t>
      </w:r>
      <w:proofErr w:type="spellStart"/>
      <w:r w:rsidRPr="00D056D9">
        <w:rPr>
          <w:rFonts w:ascii="Times New Roman" w:hAnsi="Times New Roman" w:cs="Times New Roman"/>
          <w:i/>
          <w:sz w:val="24"/>
          <w:szCs w:val="24"/>
          <w:lang w:val="en-US"/>
        </w:rPr>
        <w:t>Podgorsak</w:t>
      </w:r>
      <w:proofErr w:type="spellEnd"/>
      <w:r w:rsidRPr="00D056D9">
        <w:rPr>
          <w:rFonts w:ascii="Times New Roman" w:hAnsi="Times New Roman" w:cs="Times New Roman"/>
          <w:sz w:val="24"/>
          <w:szCs w:val="24"/>
          <w:lang w:val="en-US"/>
        </w:rPr>
        <w:t xml:space="preserve">. Radiation </w:t>
      </w:r>
      <w:r w:rsidR="00D056D9" w:rsidRPr="00D056D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056D9">
        <w:rPr>
          <w:rFonts w:ascii="Times New Roman" w:hAnsi="Times New Roman" w:cs="Times New Roman"/>
          <w:sz w:val="24"/>
          <w:szCs w:val="24"/>
          <w:lang w:val="en-US"/>
        </w:rPr>
        <w:t xml:space="preserve">ncology </w:t>
      </w:r>
      <w:r w:rsidR="00DD6AC2">
        <w:rPr>
          <w:rFonts w:ascii="Times New Roman" w:hAnsi="Times New Roman" w:cs="Times New Roman"/>
          <w:sz w:val="24"/>
          <w:szCs w:val="24"/>
          <w:lang w:val="en-US"/>
        </w:rPr>
        <w:t>Physics</w:t>
      </w:r>
      <w:r w:rsidR="00D056D9" w:rsidRPr="00D056D9">
        <w:rPr>
          <w:rFonts w:ascii="Times New Roman" w:hAnsi="Times New Roman" w:cs="Times New Roman"/>
          <w:sz w:val="24"/>
          <w:szCs w:val="24"/>
          <w:lang w:val="en-US"/>
        </w:rPr>
        <w:t>: a H</w:t>
      </w:r>
      <w:r w:rsidRPr="00D056D9">
        <w:rPr>
          <w:rFonts w:ascii="Times New Roman" w:hAnsi="Times New Roman" w:cs="Times New Roman"/>
          <w:sz w:val="24"/>
          <w:szCs w:val="24"/>
          <w:lang w:val="en-US"/>
        </w:rPr>
        <w:t xml:space="preserve">andbook for </w:t>
      </w:r>
      <w:r w:rsidR="00D056D9" w:rsidRPr="00D056D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056D9">
        <w:rPr>
          <w:rFonts w:ascii="Times New Roman" w:hAnsi="Times New Roman" w:cs="Times New Roman"/>
          <w:sz w:val="24"/>
          <w:szCs w:val="24"/>
          <w:lang w:val="en-US"/>
        </w:rPr>
        <w:t xml:space="preserve">eachers and </w:t>
      </w:r>
      <w:r w:rsidR="00D056D9" w:rsidRPr="00D056D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056D9">
        <w:rPr>
          <w:rFonts w:ascii="Times New Roman" w:hAnsi="Times New Roman" w:cs="Times New Roman"/>
          <w:sz w:val="24"/>
          <w:szCs w:val="24"/>
          <w:lang w:val="en-US"/>
        </w:rPr>
        <w:t>tudents; sponsored by IAEA</w:t>
      </w:r>
      <w:r w:rsidR="00113F05" w:rsidRPr="00113F05">
        <w:rPr>
          <w:rFonts w:ascii="Times New Roman" w:hAnsi="Times New Roman" w:cs="Times New Roman"/>
          <w:sz w:val="24"/>
          <w:szCs w:val="24"/>
          <w:lang w:val="en-US"/>
        </w:rPr>
        <w:t>, 2005</w:t>
      </w:r>
    </w:p>
    <w:p w14:paraId="58267DFE" w14:textId="77777777" w:rsidR="00D056D9" w:rsidRPr="00D46141" w:rsidRDefault="00D056D9" w:rsidP="00D05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61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Geant4 - A Simulation Toolkit, S. </w:t>
      </w:r>
      <w:proofErr w:type="spellStart"/>
      <w:r w:rsidRPr="00D46141">
        <w:rPr>
          <w:rFonts w:ascii="Times New Roman" w:eastAsia="Times New Roman" w:hAnsi="Times New Roman" w:cs="Times New Roman"/>
          <w:sz w:val="24"/>
          <w:szCs w:val="24"/>
          <w:lang w:val="en-US"/>
        </w:rPr>
        <w:t>Agostinelli</w:t>
      </w:r>
      <w:proofErr w:type="spellEnd"/>
      <w:r w:rsidRPr="00D461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 al., </w:t>
      </w:r>
      <w:proofErr w:type="spellStart"/>
      <w:r w:rsidRPr="00D46141">
        <w:rPr>
          <w:rFonts w:ascii="Times New Roman" w:eastAsia="Times New Roman" w:hAnsi="Times New Roman" w:cs="Times New Roman"/>
          <w:sz w:val="24"/>
          <w:szCs w:val="24"/>
          <w:lang w:val="en-US"/>
        </w:rPr>
        <w:t>Nucl</w:t>
      </w:r>
      <w:proofErr w:type="spellEnd"/>
      <w:r w:rsidRPr="00D461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46141">
        <w:rPr>
          <w:rFonts w:ascii="Times New Roman" w:eastAsia="Times New Roman" w:hAnsi="Times New Roman" w:cs="Times New Roman"/>
          <w:sz w:val="24"/>
          <w:szCs w:val="24"/>
          <w:lang w:val="en-US"/>
        </w:rPr>
        <w:t>Instrum</w:t>
      </w:r>
      <w:proofErr w:type="spellEnd"/>
      <w:r w:rsidRPr="00D46141">
        <w:rPr>
          <w:rFonts w:ascii="Times New Roman" w:eastAsia="Times New Roman" w:hAnsi="Times New Roman" w:cs="Times New Roman"/>
          <w:sz w:val="24"/>
          <w:szCs w:val="24"/>
          <w:lang w:val="en-US"/>
        </w:rPr>
        <w:t>. Meth. A 506 250-303 (2003).</w:t>
      </w:r>
    </w:p>
    <w:p w14:paraId="57BC6A57" w14:textId="77777777" w:rsidR="00D056D9" w:rsidRPr="00D46141" w:rsidRDefault="00D056D9" w:rsidP="00D05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61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Analysis of Dose Distribution According to the Initial Electron Beam of the Linear Accelerator: A Monte Carlo Study / </w:t>
      </w:r>
      <w:r w:rsidRPr="00D46141">
        <w:rPr>
          <w:rFonts w:ascii="Times New Roman" w:hAnsi="Times New Roman" w:cs="Times New Roman"/>
          <w:sz w:val="24"/>
          <w:szCs w:val="24"/>
          <w:lang w:val="en-US"/>
        </w:rPr>
        <w:t>Journal of Radiation Protection and Research, 2018</w:t>
      </w:r>
    </w:p>
    <w:p w14:paraId="7248691D" w14:textId="77777777" w:rsidR="00D056D9" w:rsidRPr="00D46141" w:rsidRDefault="000438CF" w:rsidP="000438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6141">
        <w:rPr>
          <w:rFonts w:ascii="Times New Roman" w:hAnsi="Times New Roman" w:cs="Times New Roman"/>
          <w:sz w:val="24"/>
          <w:szCs w:val="24"/>
          <w:lang w:val="en-US"/>
        </w:rPr>
        <w:t xml:space="preserve">Simulation and experimental validation of a prototype electron beam linear accelerator for preclinical studies /  </w:t>
      </w:r>
      <w:proofErr w:type="spellStart"/>
      <w:r w:rsidRPr="00D461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Physica</w:t>
      </w:r>
      <w:proofErr w:type="spellEnd"/>
      <w:r w:rsidRPr="00D461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461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Medica</w:t>
      </w:r>
      <w:proofErr w:type="spellEnd"/>
      <w:r w:rsidRPr="00D461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European Journal of Medical Physics, 2019</w:t>
      </w:r>
    </w:p>
    <w:p w14:paraId="5EF571BF" w14:textId="77777777" w:rsidR="000438CF" w:rsidRPr="00D46141" w:rsidRDefault="00D46141" w:rsidP="00D461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6141">
        <w:rPr>
          <w:rFonts w:ascii="Times New Roman" w:hAnsi="Times New Roman" w:cs="Times New Roman"/>
          <w:sz w:val="24"/>
          <w:szCs w:val="24"/>
          <w:lang w:val="en-US"/>
        </w:rPr>
        <w:t>An experimental study of focused very high energy electron beams for radiotherapy / Communications Physics, 2021</w:t>
      </w:r>
    </w:p>
    <w:p w14:paraId="0919A21A" w14:textId="77777777" w:rsidR="00D46141" w:rsidRPr="00D419B7" w:rsidRDefault="00D46141" w:rsidP="00D461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6141">
        <w:rPr>
          <w:rFonts w:ascii="Times New Roman" w:hAnsi="Times New Roman" w:cs="Times New Roman"/>
          <w:sz w:val="24"/>
          <w:szCs w:val="24"/>
          <w:lang w:val="en-US"/>
        </w:rPr>
        <w:t>Effects of Initial Electron Beam Parameters of a Linear Accelerator on the Properties of Bremsstrahlung Radiation in a Radiotherapy Setting / Physics of Particles and Nuclei Letters, 2016</w:t>
      </w:r>
    </w:p>
    <w:p w14:paraId="376C80A2" w14:textId="77777777" w:rsidR="00D419B7" w:rsidRPr="00D419B7" w:rsidRDefault="00D419B7" w:rsidP="00D419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19B7">
        <w:rPr>
          <w:rFonts w:ascii="Times New Roman" w:hAnsi="Times New Roman" w:cs="Times New Roman"/>
          <w:sz w:val="24"/>
          <w:szCs w:val="24"/>
          <w:lang w:val="en-US"/>
        </w:rPr>
        <w:t>VHEE beam dosimetry at CERN Linear Electron Accelerator for Research under ultra-high dose rate conditions / Biomedical Physics and Engineering Express</w:t>
      </w:r>
      <w:r>
        <w:rPr>
          <w:rFonts w:ascii="Times New Roman" w:hAnsi="Times New Roman" w:cs="Times New Roman"/>
          <w:sz w:val="24"/>
          <w:szCs w:val="24"/>
          <w:lang w:val="en-US"/>
        </w:rPr>
        <w:t>, 2021</w:t>
      </w:r>
    </w:p>
    <w:sectPr w:rsidR="00D419B7" w:rsidRPr="00D41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59F2"/>
    <w:multiLevelType w:val="hybridMultilevel"/>
    <w:tmpl w:val="73306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30F96"/>
    <w:multiLevelType w:val="multilevel"/>
    <w:tmpl w:val="594E6A7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56D91DF4"/>
    <w:multiLevelType w:val="hybridMultilevel"/>
    <w:tmpl w:val="A7A88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71"/>
    <w:rsid w:val="000418C5"/>
    <w:rsid w:val="00042B1C"/>
    <w:rsid w:val="000438CF"/>
    <w:rsid w:val="00091D79"/>
    <w:rsid w:val="00113F05"/>
    <w:rsid w:val="0015751C"/>
    <w:rsid w:val="001618AF"/>
    <w:rsid w:val="00165574"/>
    <w:rsid w:val="001A1170"/>
    <w:rsid w:val="00207A0E"/>
    <w:rsid w:val="00230C81"/>
    <w:rsid w:val="002E30CF"/>
    <w:rsid w:val="0033732E"/>
    <w:rsid w:val="00362799"/>
    <w:rsid w:val="003715C9"/>
    <w:rsid w:val="00393198"/>
    <w:rsid w:val="003A04BC"/>
    <w:rsid w:val="003C0FBA"/>
    <w:rsid w:val="00510FD8"/>
    <w:rsid w:val="005152EE"/>
    <w:rsid w:val="0052566A"/>
    <w:rsid w:val="00582924"/>
    <w:rsid w:val="005E2B25"/>
    <w:rsid w:val="00616E7A"/>
    <w:rsid w:val="00631895"/>
    <w:rsid w:val="006C02C2"/>
    <w:rsid w:val="006D0972"/>
    <w:rsid w:val="0076553E"/>
    <w:rsid w:val="007809B0"/>
    <w:rsid w:val="00830E12"/>
    <w:rsid w:val="008E4B37"/>
    <w:rsid w:val="009E6905"/>
    <w:rsid w:val="009F576A"/>
    <w:rsid w:val="009F775C"/>
    <w:rsid w:val="00A16085"/>
    <w:rsid w:val="00A64529"/>
    <w:rsid w:val="00A72889"/>
    <w:rsid w:val="00B525AC"/>
    <w:rsid w:val="00BC0566"/>
    <w:rsid w:val="00BE0672"/>
    <w:rsid w:val="00C23130"/>
    <w:rsid w:val="00C757B5"/>
    <w:rsid w:val="00C77A07"/>
    <w:rsid w:val="00CC05FB"/>
    <w:rsid w:val="00D056D9"/>
    <w:rsid w:val="00D419B7"/>
    <w:rsid w:val="00D46141"/>
    <w:rsid w:val="00DC7FAD"/>
    <w:rsid w:val="00DD6AC2"/>
    <w:rsid w:val="00E973A6"/>
    <w:rsid w:val="00F431D4"/>
    <w:rsid w:val="00F65671"/>
    <w:rsid w:val="00FA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2449"/>
  <w15:chartTrackingRefBased/>
  <w15:docId w15:val="{AD60882C-AB79-4393-985C-FBD03711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67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C056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D6AC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6AC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6AC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57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751C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15751C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15751C"/>
    <w:rPr>
      <w:b/>
      <w:bCs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9F775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43375-8A4F-4DF9-8CB8-C4476B15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Artemiy Lyubomudrov</dc:creator>
  <cp:keywords/>
  <dc:description/>
  <cp:lastModifiedBy>Artemiy Lyubomudrov</cp:lastModifiedBy>
  <cp:revision>3</cp:revision>
  <dcterms:created xsi:type="dcterms:W3CDTF">2024-02-29T16:08:00Z</dcterms:created>
  <dcterms:modified xsi:type="dcterms:W3CDTF">2024-02-29T16:10:00Z</dcterms:modified>
</cp:coreProperties>
</file>