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08"/>
          <w:tab w:val="left" w:pos="364" w:leader="none"/>
        </w:tabs>
        <w:ind w:firstLine="426" w:start="0" w:end="0"/>
        <w:jc w:val="center"/>
        <w:rPr>
          <w:rFonts w:eastAsia="Times New Roman" w:cs="Times New Roman"/>
          <w:b/>
          <w:bCs/>
          <w:color w:val="000000"/>
          <w:sz w:val="24"/>
          <w:szCs w:val="24"/>
          <w:shd w:fill="FFFFFF" w:val="clear"/>
          <w:lang w:val="ru-RU" w:bidi="ar-SA"/>
        </w:rPr>
      </w:pPr>
      <w:r>
        <w:rPr>
          <w:rFonts w:eastAsia="Times New Roman" w:cs="Times New Roman"/>
          <w:b/>
          <w:bCs/>
          <w:color w:val="000000"/>
          <w:sz w:val="24"/>
          <w:szCs w:val="24"/>
          <w:shd w:fill="FFFFFF" w:val="clear"/>
          <w:lang w:val="ru-RU" w:bidi="ar-SA"/>
        </w:rPr>
        <w:t>A Scalable, Error-Tolerant, Reprogrammable Architecture for Integrated Linear-Optical Light Conversion</w:t>
      </w:r>
    </w:p>
    <w:p>
      <w:pPr>
        <w:pStyle w:val="Normal"/>
        <w:tabs>
          <w:tab w:val="clear" w:pos="708"/>
          <w:tab w:val="left" w:pos="364" w:leader="none"/>
        </w:tabs>
        <w:ind w:firstLine="426" w:start="0" w:end="0"/>
        <w:jc w:val="center"/>
        <w:rPr/>
      </w:pPr>
      <w:r>
        <w:rPr>
          <w:b/>
          <w:bCs/>
          <w:i/>
          <w:iCs/>
          <w:color w:val="000000"/>
          <w:u w:val="single"/>
          <w:shd w:fill="FFFFFF" w:val="clear"/>
          <w:lang w:val="en-US"/>
        </w:rPr>
        <w:t>Fldzhyan S.A.</w:t>
      </w:r>
      <w:r>
        <w:rPr>
          <w:b/>
          <w:bCs/>
          <w:i/>
          <w:iCs/>
          <w:color w:val="000000"/>
          <w:shd w:fill="FFFFFF" w:val="clear"/>
          <w:vertAlign w:val="superscript"/>
          <w:lang w:val="en-US"/>
        </w:rPr>
        <w:t>1,2</w:t>
      </w:r>
      <w:r>
        <w:rPr>
          <w:rStyle w:val="Emphasis"/>
          <w:b/>
          <w:bCs/>
          <w:color w:val="000000"/>
          <w:shd w:fill="FFFFFF" w:val="clear"/>
          <w:lang w:val="en-US"/>
        </w:rPr>
        <w:t>,</w:t>
      </w:r>
      <w:r>
        <w:rPr>
          <w:b/>
          <w:bCs/>
          <w:i/>
          <w:iCs/>
          <w:lang w:val="en-US"/>
        </w:rPr>
        <w:t xml:space="preserve"> Saygin M.Yu.</w:t>
      </w:r>
      <w:r>
        <w:rPr>
          <w:b/>
          <w:bCs/>
          <w:i/>
          <w:iCs/>
          <w:vertAlign w:val="superscript"/>
          <w:lang w:val="en-US"/>
        </w:rPr>
        <w:t>1</w:t>
      </w:r>
      <w:r>
        <w:rPr>
          <w:b/>
          <w:bCs/>
          <w:i/>
          <w:iCs/>
          <w:lang w:val="en-US"/>
        </w:rPr>
        <w:t>, Kulik S.P.</w:t>
      </w:r>
      <w:r>
        <w:rPr>
          <w:b/>
          <w:bCs/>
          <w:i/>
          <w:iCs/>
          <w:vertAlign w:val="superscript"/>
          <w:lang w:val="en-US"/>
        </w:rPr>
        <w:t>1,3</w:t>
      </w:r>
      <w:r>
        <w:rPr>
          <w:b/>
          <w:bCs/>
          <w:i/>
          <w:iCs/>
          <w:lang w:val="en-US"/>
        </w:rPr>
        <w:t>, Straupe S.S.</w:t>
      </w:r>
      <w:r>
        <w:rPr>
          <w:b/>
          <w:bCs/>
          <w:i/>
          <w:iCs/>
          <w:vertAlign w:val="superscript"/>
          <w:lang w:val="en-US"/>
        </w:rPr>
        <w:t>1,2</w:t>
      </w:r>
    </w:p>
    <w:p>
      <w:pPr>
        <w:pStyle w:val="Normal"/>
        <w:ind w:firstLine="426" w:start="0" w:end="0"/>
        <w:jc w:val="center"/>
        <w:rPr/>
      </w:pPr>
      <w:r>
        <w:rPr>
          <w:rStyle w:val="Emphasis"/>
          <w:color w:val="000000"/>
          <w:shd w:fill="FFFFFF" w:val="clear"/>
          <w:lang w:val="en-US"/>
        </w:rPr>
        <w:t>student,</w:t>
      </w:r>
    </w:p>
    <w:p>
      <w:pPr>
        <w:pStyle w:val="Normal"/>
        <w:ind w:firstLine="426" w:start="0" w:end="0"/>
        <w:jc w:val="center"/>
        <w:rPr/>
      </w:pPr>
      <w:r>
        <w:rPr>
          <w:rStyle w:val="Emphasis"/>
          <w:rFonts w:ascii="Times New Roman" w:hAnsi="Times New Roman"/>
          <w:b w:val="false"/>
          <w:bCs w:val="false"/>
          <w:color w:val="000000"/>
          <w:sz w:val="24"/>
          <w:shd w:fill="FFFFFF" w:val="clear"/>
          <w:vertAlign w:val="superscript"/>
          <w:lang w:val="en-US"/>
        </w:rPr>
        <w:t>1</w:t>
      </w:r>
      <w:r>
        <w:rPr>
          <w:rStyle w:val="Emphasis"/>
          <w:rFonts w:ascii="Times New Roman" w:hAnsi="Times New Roman"/>
          <w:b w:val="false"/>
          <w:bCs w:val="false"/>
          <w:color w:val="000000"/>
          <w:position w:val="0"/>
          <w:sz w:val="24"/>
          <w:sz w:val="24"/>
          <w:szCs w:val="24"/>
          <w:shd w:fill="FFFFFF" w:val="clear"/>
          <w:vertAlign w:val="baseline"/>
          <w:lang w:val="en-US"/>
        </w:rPr>
        <w:t>Quantum Technologies Center, M.V. Lomonosov Moscow State University, Moscow, Russia</w:t>
      </w:r>
    </w:p>
    <w:p>
      <w:pPr>
        <w:pStyle w:val="Normal"/>
        <w:ind w:firstLine="426" w:start="0" w:end="0"/>
        <w:jc w:val="center"/>
        <w:rPr/>
      </w:pPr>
      <w:r>
        <w:rPr>
          <w:rStyle w:val="Emphasis"/>
          <w:rFonts w:ascii="Times New Roman" w:hAnsi="Times New Roman"/>
          <w:b w:val="false"/>
          <w:bCs w:val="false"/>
          <w:color w:val="000000"/>
          <w:sz w:val="24"/>
          <w:szCs w:val="24"/>
          <w:shd w:fill="FFFFFF" w:val="clear"/>
          <w:vertAlign w:val="superscript"/>
          <w:lang w:val="en-US"/>
        </w:rPr>
        <w:t>2</w:t>
      </w:r>
      <w:r>
        <w:rPr>
          <w:rStyle w:val="Emphasis"/>
          <w:rFonts w:ascii="Times New Roman" w:hAnsi="Times New Roman"/>
          <w:b w:val="false"/>
          <w:bCs w:val="false"/>
          <w:color w:val="000000"/>
          <w:position w:val="0"/>
          <w:sz w:val="24"/>
          <w:sz w:val="24"/>
          <w:szCs w:val="24"/>
          <w:shd w:fill="FFFFFF" w:val="clear"/>
          <w:vertAlign w:val="baseline"/>
          <w:lang w:val="en-US"/>
        </w:rPr>
        <w:t>Russian Quantum Center, Moscow, Russia</w:t>
      </w:r>
    </w:p>
    <w:p>
      <w:pPr>
        <w:pStyle w:val="Normal"/>
        <w:ind w:firstLine="426" w:start="0" w:end="0"/>
        <w:jc w:val="center"/>
        <w:rPr/>
      </w:pPr>
      <w:r>
        <w:rPr>
          <w:rStyle w:val="Emphasis"/>
          <w:rFonts w:ascii="Times New Roman" w:hAnsi="Times New Roman"/>
          <w:b w:val="false"/>
          <w:bCs w:val="false"/>
          <w:color w:val="000000"/>
          <w:sz w:val="24"/>
          <w:szCs w:val="24"/>
          <w:shd w:fill="FFFFFF" w:val="clear"/>
          <w:vertAlign w:val="superscript"/>
          <w:lang w:val="en-US"/>
        </w:rPr>
        <w:t>3</w:t>
      </w:r>
      <w:r>
        <w:rPr>
          <w:rStyle w:val="Emphasis"/>
          <w:rFonts w:ascii="Times New Roman" w:hAnsi="Times New Roman"/>
          <w:b w:val="false"/>
          <w:bCs w:val="false"/>
          <w:color w:val="000000"/>
          <w:position w:val="0"/>
          <w:sz w:val="24"/>
          <w:sz w:val="24"/>
          <w:szCs w:val="24"/>
          <w:shd w:fill="FFFFFF" w:val="clear"/>
          <w:vertAlign w:val="baseline"/>
          <w:lang w:val="en-US"/>
        </w:rPr>
        <w:t>Laboratory of quantum engineering of light, South Ural State University, Chelyabinsk, Russia</w:t>
      </w:r>
      <w:r>
        <w:rPr>
          <w:rStyle w:val="Emphasis"/>
          <w:b w:val="false"/>
          <w:bCs w:val="false"/>
          <w:i/>
          <w:iCs/>
          <w:color w:val="000000"/>
          <w:position w:val="0"/>
          <w:sz w:val="24"/>
          <w:sz w:val="24"/>
          <w:shd w:fill="FFFFFF" w:val="clear"/>
          <w:vertAlign w:val="baseline"/>
          <w:lang w:val="en-US"/>
        </w:rPr>
        <w:br/>
      </w:r>
      <w:r>
        <w:rPr>
          <w:rStyle w:val="Emphasis"/>
          <w:b w:val="false"/>
          <w:bCs w:val="false"/>
          <w:color w:val="000000"/>
          <w:position w:val="0"/>
          <w:sz w:val="24"/>
          <w:sz w:val="24"/>
          <w:shd w:fill="FFFFFF" w:val="clear"/>
          <w:vertAlign w:val="baseline"/>
          <w:lang w:val="en-US"/>
        </w:rPr>
        <w:t>E–mail</w:t>
      </w:r>
      <w:r>
        <w:rPr>
          <w:rStyle w:val="Emphasis"/>
          <w:b w:val="false"/>
          <w:bCs w:val="false"/>
          <w:i w:val="false"/>
          <w:iCs w:val="false"/>
          <w:color w:val="000000"/>
          <w:position w:val="0"/>
          <w:sz w:val="24"/>
          <w:sz w:val="24"/>
          <w:shd w:fill="FFFFFF" w:val="clear"/>
          <w:vertAlign w:val="baseline"/>
          <w:lang w:val="en-US"/>
        </w:rPr>
        <w:t xml:space="preserve">: </w:t>
      </w:r>
      <w:r>
        <w:rPr>
          <w:rStyle w:val="Emphasis"/>
          <w:b w:val="false"/>
          <w:bCs w:val="false"/>
          <w:color w:val="000000"/>
          <w:position w:val="0"/>
          <w:sz w:val="24"/>
          <w:sz w:val="24"/>
          <w:u w:val="single"/>
          <w:shd w:fill="FFFFFF" w:val="clear"/>
          <w:vertAlign w:val="baseline"/>
          <w:lang w:val="en-US"/>
        </w:rPr>
        <w:t>apres.suren@gmail.com</w:t>
      </w:r>
    </w:p>
    <w:p>
      <w:pPr>
        <w:pStyle w:val="Normal"/>
        <w:rPr>
          <w:lang w:val="en-US" w:eastAsia="zh-CN" w:bidi="ar-SA"/>
        </w:rPr>
      </w:pPr>
      <w:r>
        <w:rPr>
          <w:lang w:val="en-US" w:eastAsia="zh-CN" w:bidi="ar-SA"/>
        </w:rPr>
      </w:r>
    </w:p>
    <w:p>
      <w:pPr>
        <w:pStyle w:val="Normal"/>
        <w:ind w:firstLine="397" w:start="0" w:end="0"/>
        <w:jc w:val="both"/>
        <w:rPr>
          <w:lang w:val="en-US" w:eastAsia="zh-CN" w:bidi="ar-SA"/>
        </w:rPr>
      </w:pPr>
      <w:r>
        <w:rPr>
          <w:lang w:val="en-US" w:eastAsia="zh-CN" w:bidi="ar-SA"/>
        </w:rPr>
        <w:t>The integrated interferometers, composed of beamsplitter and phaseshifter arrays, can inherently realize the conversion of N input channels to N output ones described by a unitary matrix. Th</w:t>
      </w:r>
      <w:r>
        <w:rPr>
          <w:lang w:val="en-US" w:eastAsia="zh-CN" w:bidi="ar-SA"/>
        </w:rPr>
        <w:t>is</w:t>
      </w:r>
      <w:r>
        <w:rPr>
          <w:lang w:val="en-US" w:eastAsia="zh-CN" w:bidi="ar-SA"/>
        </w:rPr>
        <w:t xml:space="preserve"> interferometer may consist of L = N + 1 phase-shifter layers, with some beamsplitter arrangements in between </w:t>
      </w:r>
      <w:r>
        <w:rPr>
          <w:lang w:val="en-US" w:eastAsia="zh-CN" w:bidi="ar-SA"/>
        </w:rPr>
        <w:fldChar w:fldCharType="begin"/>
      </w:r>
      <w:r>
        <w:rPr>
          <w:lang w:val="en-US" w:eastAsia="zh-CN" w:bidi="ar-SA"/>
        </w:rPr>
        <w:instrText xml:space="preserve"> CITATION  "1"</w:instrText>
      </w:r>
      <w:r>
        <w:rPr>
          <w:lang w:val="en-US" w:eastAsia="zh-CN" w:bidi="ar-SA"/>
        </w:rPr>
        <w:fldChar w:fldCharType="separate"/>
      </w:r>
      <w:r>
        <w:rPr>
          <w:lang w:val="en-US" w:eastAsia="zh-CN" w:bidi="ar-SA"/>
        </w:rPr>
        <w:t>1</w:t>
      </w:r>
      <w:r>
        <w:rPr>
          <w:lang w:val="en-US" w:eastAsia="zh-CN" w:bidi="ar-SA"/>
        </w:rPr>
        <w:fldChar w:fldCharType="end"/>
      </w:r>
      <w:r>
        <w:rPr>
          <w:lang w:val="en-US" w:eastAsia="zh-CN" w:bidi="ar-SA"/>
        </w:rPr>
        <w:t>. To achieve a general light conversion governed by a non-unitary NxN matrix, traditional</w:t>
      </w:r>
      <w:r>
        <w:rPr>
          <w:lang w:val="en-US" w:eastAsia="zh-CN" w:bidi="ar-SA"/>
        </w:rPr>
        <w:t>ly the</w:t>
      </w:r>
      <w:r>
        <w:rPr>
          <w:lang w:val="en-US" w:eastAsia="zh-CN" w:bidi="ar-SA"/>
        </w:rPr>
        <w:t xml:space="preserve"> SVD technique is employed. The target matrix S is decomposed into S = VDU, where V and U are unitary matrices and D is a diagonal matrix of positive coefficients. V and U are realized trivially, and D is realized through reconfigurable amplitude damping, for example, using a MZI interferometer.</w:t>
      </w:r>
    </w:p>
    <w:p>
      <w:pPr>
        <w:pStyle w:val="Normal"/>
        <w:ind w:firstLine="397" w:start="0" w:end="0"/>
        <w:jc w:val="both"/>
        <w:rPr/>
      </w:pPr>
      <w:r>
        <w:rPr>
          <w:lang w:val="en-US" w:eastAsia="zh-CN" w:bidi="ar-SA"/>
        </w:rPr>
        <w:t xml:space="preserve">Recently, a new technique </w:t>
      </w:r>
      <w:r>
        <w:rPr>
          <w:lang w:val="en-US" w:eastAsia="zh-CN" w:bidi="ar-SA"/>
        </w:rPr>
        <w:t xml:space="preserve">shown in Figure </w:t>
      </w:r>
      <w:r>
        <w:rPr>
          <w:lang w:val="en-US" w:eastAsia="zh-CN" w:bidi="ar-SA"/>
        </w:rPr>
        <w:fldChar w:fldCharType="begin"/>
      </w:r>
      <w:r>
        <w:rPr>
          <w:lang w:val="en-US" w:eastAsia="zh-CN" w:bidi="ar-SA"/>
        </w:rPr>
        <w:instrText xml:space="preserve"> REF Ref_Figure0_number_only \h </w:instrText>
      </w:r>
      <w:r>
        <w:rPr>
          <w:lang w:val="en-US" w:eastAsia="zh-CN" w:bidi="ar-SA"/>
        </w:rPr>
        <w:fldChar w:fldCharType="separate"/>
      </w:r>
      <w:r>
        <w:rPr>
          <w:lang w:val="en-US" w:eastAsia="zh-CN" w:bidi="ar-SA"/>
        </w:rPr>
        <w:t>1</w:t>
      </w:r>
      <w:r>
        <w:rPr>
          <w:lang w:val="en-US" w:eastAsia="zh-CN" w:bidi="ar-SA"/>
        </w:rPr>
        <w:fldChar w:fldCharType="end"/>
      </w:r>
      <w:r>
        <w:rPr>
          <w:lang w:val="en-US" w:eastAsia="zh-CN" w:bidi="ar-SA"/>
        </w:rPr>
        <w:t>a)</w:t>
      </w:r>
      <w:r>
        <w:rPr>
          <w:lang w:val="en-US" w:eastAsia="zh-CN" w:bidi="ar-SA"/>
        </w:rPr>
        <w:t xml:space="preserve"> was proposed that significantly reduces the size of embedded interferometers </w:t>
      </w:r>
      <w:r>
        <w:rPr>
          <w:lang w:val="en-US" w:eastAsia="zh-CN" w:bidi="ar-SA"/>
        </w:rPr>
        <w:fldChar w:fldCharType="begin"/>
      </w:r>
      <w:r>
        <w:rPr>
          <w:lang w:val="en-US" w:eastAsia="zh-CN" w:bidi="ar-SA"/>
        </w:rPr>
        <w:instrText xml:space="preserve"> CITATION  "2"</w:instrText>
      </w:r>
      <w:r>
        <w:rPr>
          <w:lang w:val="en-US" w:eastAsia="zh-CN" w:bidi="ar-SA"/>
        </w:rPr>
        <w:fldChar w:fldCharType="separate"/>
      </w:r>
      <w:r>
        <w:rPr>
          <w:lang w:val="en-US" w:eastAsia="zh-CN" w:bidi="ar-SA"/>
        </w:rPr>
        <w:t>2</w:t>
      </w:r>
      <w:r>
        <w:rPr>
          <w:lang w:val="en-US" w:eastAsia="zh-CN" w:bidi="ar-SA"/>
        </w:rPr>
        <w:fldChar w:fldCharType="end"/>
      </w:r>
      <w:r>
        <w:rPr>
          <w:lang w:val="en-US" w:eastAsia="zh-CN" w:bidi="ar-SA"/>
        </w:rPr>
        <w:t>. Instead of the traditional SVD technique, which requires L = 2N + 3 reconfigurable phaseshifter layers, the new technique only requires L = N + 2 phaseshifter layers. The key aspect of this new proposal is to widen the interferometer. To achieve the general conversion of N input channels to N output ones, M = 2N channels are required. N input channels are distributed into M channel interferometer, and only N of M channels at the output are considered.</w:t>
      </w:r>
    </w:p>
    <w:p>
      <w:pPr>
        <w:pStyle w:val="Normal"/>
        <w:ind w:firstLine="397" w:start="0" w:end="0"/>
        <w:jc w:val="both"/>
        <w:rPr/>
      </w:pPr>
      <w:r>
        <w:rPr>
          <w:lang w:val="en-US" w:eastAsia="zh-CN" w:bidi="ar-SA"/>
        </w:rPr>
        <w:t xml:space="preserve">However, the authors of </w:t>
      </w:r>
      <w:r>
        <w:rPr>
          <w:lang w:val="en-US" w:eastAsia="zh-CN" w:bidi="ar-SA"/>
        </w:rPr>
        <w:fldChar w:fldCharType="begin"/>
      </w:r>
      <w:r>
        <w:rPr>
          <w:lang w:val="en-US" w:eastAsia="zh-CN" w:bidi="ar-SA"/>
        </w:rPr>
        <w:instrText xml:space="preserve"> CITATION  "2"</w:instrText>
      </w:r>
      <w:r>
        <w:rPr>
          <w:lang w:val="en-US" w:eastAsia="zh-CN" w:bidi="ar-SA"/>
        </w:rPr>
        <w:fldChar w:fldCharType="separate"/>
      </w:r>
      <w:r>
        <w:rPr>
          <w:lang w:val="en-US" w:eastAsia="zh-CN" w:bidi="ar-SA"/>
        </w:rPr>
        <w:t>2</w:t>
      </w:r>
      <w:r>
        <w:rPr>
          <w:lang w:val="en-US" w:eastAsia="zh-CN" w:bidi="ar-SA"/>
        </w:rPr>
        <w:fldChar w:fldCharType="end"/>
      </w:r>
      <w:r>
        <w:rPr>
          <w:lang w:val="en-US" w:eastAsia="zh-CN" w:bidi="ar-SA"/>
        </w:rPr>
        <w:t xml:space="preserve"> suggest the use of long-</w:t>
      </w:r>
      <w:r>
        <w:rPr>
          <w:lang w:val="en-US" w:eastAsia="zh-CN" w:bidi="ar-SA"/>
        </w:rPr>
        <w:t>depth</w:t>
      </w:r>
      <w:r>
        <w:rPr>
          <w:lang w:val="en-US" w:eastAsia="zh-CN" w:bidi="ar-SA"/>
        </w:rPr>
        <w:t xml:space="preserve"> and prone to fabrication errors mixing layers. These include multimode interference couplers and multiport directional couplers, each of which grows in </w:t>
      </w:r>
      <w:r>
        <w:rPr>
          <w:lang w:val="en-US" w:eastAsia="zh-CN" w:bidi="ar-SA"/>
        </w:rPr>
        <w:t>depth</w:t>
      </w:r>
      <w:r>
        <w:rPr>
          <w:lang w:val="en-US" w:eastAsia="zh-CN" w:bidi="ar-SA"/>
        </w:rPr>
        <w:t xml:space="preserve"> and complexity as the size of the S matrix increases. Therefore, it would be advantageous to find a mixing layer that does not become increasingly complex as the matrix size increases. Our proposal is to employ a simpler constant-depth mixing layer </w:t>
      </w:r>
      <w:r>
        <w:rPr>
          <w:lang w:val="en-US" w:eastAsia="zh-CN" w:bidi="ar-SA"/>
        </w:rPr>
        <w:t xml:space="preserve">schematically </w:t>
      </w:r>
      <w:r>
        <w:rPr>
          <w:lang w:val="en-US" w:eastAsia="zh-CN" w:bidi="ar-SA"/>
        </w:rPr>
        <w:t xml:space="preserve">shown in Figure </w:t>
      </w:r>
      <w:r>
        <w:rPr>
          <w:lang w:val="en-US" w:eastAsia="zh-CN" w:bidi="ar-SA"/>
        </w:rPr>
        <w:fldChar w:fldCharType="begin"/>
      </w:r>
      <w:r>
        <w:rPr>
          <w:lang w:val="en-US" w:eastAsia="zh-CN" w:bidi="ar-SA"/>
        </w:rPr>
        <w:instrText xml:space="preserve"> REF Ref_Figure0_number_only \h </w:instrText>
      </w:r>
      <w:r>
        <w:rPr>
          <w:lang w:val="en-US" w:eastAsia="zh-CN" w:bidi="ar-SA"/>
        </w:rPr>
        <w:fldChar w:fldCharType="separate"/>
      </w:r>
      <w:r>
        <w:rPr>
          <w:lang w:val="en-US" w:eastAsia="zh-CN" w:bidi="ar-SA"/>
        </w:rPr>
        <w:t>1</w:t>
      </w:r>
      <w:r>
        <w:rPr>
          <w:lang w:val="en-US" w:eastAsia="zh-CN" w:bidi="ar-SA"/>
        </w:rPr>
        <w:fldChar w:fldCharType="end"/>
      </w:r>
      <w:r>
        <w:rPr>
          <w:lang w:val="en-US" w:eastAsia="zh-CN" w:bidi="ar-SA"/>
        </w:rPr>
        <w:t>b)</w:t>
      </w:r>
      <w:r>
        <w:rPr>
          <w:lang w:val="en-US" w:eastAsia="zh-CN" w:bidi="ar-SA"/>
        </w:rPr>
        <w:t xml:space="preserve">, similar to the one previously described in </w:t>
      </w:r>
      <w:r>
        <w:rPr>
          <w:lang w:val="en-US" w:eastAsia="zh-CN" w:bidi="ar-SA"/>
        </w:rPr>
        <w:fldChar w:fldCharType="begin"/>
      </w:r>
      <w:r>
        <w:rPr>
          <w:lang w:val="en-US" w:eastAsia="zh-CN" w:bidi="ar-SA"/>
        </w:rPr>
        <w:instrText xml:space="preserve"> CITATION  "3"</w:instrText>
      </w:r>
      <w:r>
        <w:rPr>
          <w:lang w:val="en-US" w:eastAsia="zh-CN" w:bidi="ar-SA"/>
        </w:rPr>
        <w:fldChar w:fldCharType="separate"/>
      </w:r>
      <w:r>
        <w:rPr>
          <w:lang w:val="en-US" w:eastAsia="zh-CN" w:bidi="ar-SA"/>
        </w:rPr>
        <w:t>3</w:t>
      </w:r>
      <w:r>
        <w:rPr>
          <w:lang w:val="en-US" w:eastAsia="zh-CN" w:bidi="ar-SA"/>
        </w:rPr>
        <w:fldChar w:fldCharType="end"/>
      </w:r>
      <w:r>
        <w:rPr>
          <w:lang w:val="en-US" w:eastAsia="zh-CN" w:bidi="ar-SA"/>
        </w:rPr>
        <w:t xml:space="preserve">. </w:t>
      </w:r>
      <w:r>
        <w:rPr>
          <w:lang w:val="en-US" w:eastAsia="zh-CN" w:bidi="ar-SA"/>
        </w:rPr>
        <w:t>This error-tolerant mixing layer consists only of beamsplitters in the form of directional couplers.</w:t>
      </w:r>
      <w:r>
        <w:rPr>
          <w:lang w:val="en-US" w:eastAsia="zh-CN" w:bidi="ar-SA"/>
        </w:rPr>
        <w:t xml:space="preserve"> We demonstrate that the proposed mixing layer inherits error-tolerance.</w:t>
      </w:r>
    </w:p>
    <w:p>
      <w:pPr>
        <w:pStyle w:val="Normal"/>
        <w:ind w:firstLine="397" w:start="0" w:end="0"/>
        <w:jc w:val="both"/>
        <w:rPr/>
      </w:pPr>
      <w:r>
        <w:rPr/>
        <w:t xml:space="preserve">As there is no analytical procedure for obtaining phaseshifter values given the S matrix, we derived an iterative procedure that minimizes the normalized squared error measure of the target matrix and the realized matrix. The results of this iterative decomposition procedure are depicted in </w:t>
      </w:r>
      <w:r>
        <w:rPr>
          <w:lang w:val="en-US" w:eastAsia="zh-CN" w:bidi="ar-SA"/>
        </w:rPr>
        <w:t xml:space="preserve">Figure </w:t>
      </w:r>
      <w:r>
        <w:rPr>
          <w:lang w:val="en-US" w:eastAsia="zh-CN" w:bidi="ar-SA"/>
        </w:rPr>
        <w:fldChar w:fldCharType="begin"/>
      </w:r>
      <w:r>
        <w:rPr>
          <w:lang w:val="en-US" w:eastAsia="zh-CN" w:bidi="ar-SA"/>
        </w:rPr>
        <w:instrText xml:space="preserve"> REF Ref_Figure0_number_only \h </w:instrText>
      </w:r>
      <w:r>
        <w:rPr>
          <w:lang w:val="en-US" w:eastAsia="zh-CN" w:bidi="ar-SA"/>
        </w:rPr>
        <w:fldChar w:fldCharType="separate"/>
      </w:r>
      <w:r>
        <w:rPr>
          <w:lang w:val="en-US" w:eastAsia="zh-CN" w:bidi="ar-SA"/>
        </w:rPr>
        <w:t>1</w:t>
      </w:r>
      <w:r>
        <w:rPr>
          <w:lang w:val="en-US" w:eastAsia="zh-CN" w:bidi="ar-SA"/>
        </w:rPr>
        <w:fldChar w:fldCharType="end"/>
      </w:r>
      <w:r>
        <w:rPr>
          <w:lang w:val="en-US" w:eastAsia="zh-CN" w:bidi="ar-SA"/>
        </w:rPr>
        <w:t>c</w:t>
      </w:r>
      <w:r>
        <w:rPr>
          <w:lang w:val="en-US" w:eastAsia="zh-CN" w:bidi="ar-SA"/>
        </w:rPr>
        <w:t>)</w:t>
      </w:r>
      <w:r>
        <w:rPr>
          <w:lang w:val="en-US" w:eastAsia="zh-CN" w:bidi="ar-SA"/>
        </w:rPr>
        <w:t xml:space="preserve">. </w:t>
      </w:r>
      <w:r>
        <w:rPr/>
        <w:t>We can clearly observe the plateau of error-tolerance.</w:t>
      </w:r>
    </w:p>
    <w:p>
      <w:pPr>
        <w:pStyle w:val="Normal"/>
        <w:ind w:firstLine="397" w:start="0" w:end="0"/>
        <w:jc w:val="both"/>
        <w:rPr/>
      </w:pPr>
      <w:r>
        <w:rPr>
          <w:lang w:val="en-US" w:eastAsia="zh-CN" w:bidi="ar-SA"/>
        </w:rPr>
        <w:t>S.A.F., M.Yu.S. and S.S.S. are grateful to the Russian Roadmap on Quantum Computing for support. S.A.F. is grateful to the Foundation for the Advancement of Theoretical Physics and Mathematics (BASIS) (project No. 23-2-10-15-1).</w:t>
      </w:r>
    </w:p>
    <w:p>
      <w:pPr>
        <w:pStyle w:val="Normal"/>
        <w:ind w:firstLine="397" w:start="0" w:end="0"/>
        <w:jc w:val="both"/>
        <w:rPr>
          <w:lang w:val="en-US" w:eastAsia="zh-CN" w:bidi="ar-SA"/>
        </w:rPr>
      </w:pPr>
      <w:r>
        <w:rPr>
          <w:lang w:val="en-US" w:eastAsia="zh-CN" w:bidi="ar-SA"/>
        </w:rPr>
      </w:r>
    </w:p>
    <w:p>
      <w:pPr>
        <w:pStyle w:val="TableofAuthorities"/>
        <w:rPr/>
      </w:pPr>
      <w:r>
        <w:rPr/>
        <w:t>References</w:t>
      </w:r>
    </w:p>
    <w:p>
      <w:pPr>
        <w:pStyle w:val="Bibliography1"/>
        <w:tabs>
          <w:tab w:val="clear" w:pos="9184"/>
        </w:tabs>
        <w:rPr/>
      </w:pPr>
      <w:r>
        <w:fldChar w:fldCharType="begin"/>
      </w:r>
      <w:r>
        <w:rPr/>
        <w:instrText xml:space="preserve"> BIBLIOGRAPHY </w:instrText>
      </w:r>
      <w:r>
        <w:rPr/>
        <w:fldChar w:fldCharType="separate"/>
      </w:r>
      <w:r>
        <w:rPr/>
        <w:t xml:space="preserve">1: B. A. Bell, I. A. Walmsley, "Further compactifying linear optical unitaries", APL Photonics 6(7), 070804 (2021), </w:t>
      </w:r>
      <w:hyperlink r:id="rId2">
        <w:r>
          <w:rPr>
            <w:rStyle w:val="Hyperlink"/>
          </w:rPr>
          <w:t>https://doi.org/10.1063/5.0053421</w:t>
        </w:r>
      </w:hyperlink>
    </w:p>
    <w:p>
      <w:pPr>
        <w:pStyle w:val="Bibliography1"/>
        <w:tabs>
          <w:tab w:val="clear" w:pos="9184"/>
        </w:tabs>
        <w:rPr/>
      </w:pPr>
      <w:r>
        <w:rPr/>
        <w:t xml:space="preserve">2: Tang, R., Tanomura, R., Tanemura, T., &amp; Nakano, Y., "Lower-depth programmable linear optical processors", Phys. Rev. Applied 21(1), 014054 (2024), </w:t>
      </w:r>
      <w:hyperlink r:id="rId3">
        <w:r>
          <w:rPr>
            <w:rStyle w:val="Hyperlink"/>
          </w:rPr>
          <w:t>https://doi.org/10.1103/PhysRevApplied.21.014054</w:t>
        </w:r>
      </w:hyperlink>
    </w:p>
    <w:p>
      <w:pPr>
        <w:pStyle w:val="Bibliography1"/>
        <w:tabs>
          <w:tab w:val="clear" w:pos="9184"/>
        </w:tabs>
        <w:rPr/>
      </w:pPr>
      <w:r>
        <w:rPr/>
        <w:t xml:space="preserve">3: Fldzhyan, S. A. and Saygin, M. Yu. and Kulik, S. P., "Optimal design of error-tolerant reprogrammable multiport interferometers", Optics Letters 45(9), 2632 (2020), </w:t>
      </w:r>
      <w:hyperlink r:id="rId4">
        <w:r>
          <w:rPr>
            <w:rStyle w:val="Hyperlink"/>
          </w:rPr>
          <w:t>https://doi.org/10.1364/ol.385433</w:t>
        </w:r>
      </w:hyperlink>
      <w:r>
        <w:rPr>
          <w:rStyle w:val="Hyperlink"/>
        </w:rPr>
        <w:fldChar w:fldCharType="end"/>
      </w:r>
    </w:p>
    <w:p>
      <w:pPr>
        <w:pStyle w:val="1"/>
        <w:ind w:hanging="0" w:start="1354" w:end="0"/>
        <w:rPr>
          <w:sz w:val="24"/>
          <w:szCs w:val="24"/>
        </w:rPr>
      </w:pPr>
      <w:r>
        <w:rPr>
          <w:sz w:val="24"/>
          <w:szCs w:val="24"/>
        </w:rPr>
      </w:r>
    </w:p>
    <w:p>
      <w:pPr>
        <w:pStyle w:val="1"/>
        <w:numPr>
          <w:ilvl w:val="0"/>
          <w:numId w:val="0"/>
        </w:numPr>
        <w:spacing w:lineRule="auto" w:line="256"/>
        <w:ind w:hanging="0" w:start="709" w:end="0"/>
        <w:jc w:val="both"/>
        <w:rPr>
          <w:b w:val="false"/>
          <w:bCs w:val="false"/>
          <w:i w:val="false"/>
          <w:i w:val="false"/>
          <w:iCs w:val="false"/>
        </w:rPr>
      </w:pPr>
      <w:r>
        <w:rPr>
          <w:rFonts w:ascii="Times New Roman" w:hAnsi="Times New Roman"/>
          <w:sz w:val="24"/>
          <w:szCs w:val="24"/>
          <w:lang w:val="en-US"/>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808345" cy="6028055"/>
                <wp:effectExtent l="0" t="0" r="0" b="0"/>
                <wp:wrapSquare wrapText="largest"/>
                <wp:docPr id="1" name="Frame2"/>
                <a:graphic xmlns:a="http://schemas.openxmlformats.org/drawingml/2006/main">
                  <a:graphicData uri="http://schemas.microsoft.com/office/word/2010/wordprocessingShape">
                    <wps:wsp>
                      <wps:cNvSpPr txBox="1"/>
                      <wps:spPr>
                        <a:xfrm>
                          <a:off x="0" y="0"/>
                          <a:ext cx="5808345" cy="6028055"/>
                        </a:xfrm>
                        <a:prstGeom prst="rect"/>
                        <a:solidFill>
                          <a:srgbClr val="FFFFFF"/>
                        </a:solidFill>
                      </wps:spPr>
                      <wps:txbx>
                        <w:txbxContent>
                          <w:p>
                            <w:pPr>
                              <w:pStyle w:val="Figure"/>
                              <w:spacing w:before="120" w:after="120"/>
                              <w:jc w:val="both"/>
                              <w:rPr>
                                <w:b/>
                                <w:bCs/>
                                <w:i w:val="false"/>
                                <w:i w:val="false"/>
                                <w:iCs w:val="false"/>
                              </w:rPr>
                            </w:pPr>
                            <w:r>
                              <w:rPr>
                                <w:b/>
                                <w:bCs/>
                                <w:i w:val="false"/>
                                <w:iCs w:val="false"/>
                              </w:rPr>
                              <w:drawing>
                                <wp:inline distT="0" distB="0" distL="0" distR="0">
                                  <wp:extent cx="5210175" cy="439610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5"/>
                                          <a:stretch>
                                            <a:fillRect/>
                                          </a:stretch>
                                        </pic:blipFill>
                                        <pic:spPr bwMode="auto">
                                          <a:xfrm>
                                            <a:off x="0" y="0"/>
                                            <a:ext cx="5210175" cy="4396105"/>
                                          </a:xfrm>
                                          <a:prstGeom prst="rect">
                                            <a:avLst/>
                                          </a:prstGeom>
                                        </pic:spPr>
                                      </pic:pic>
                                    </a:graphicData>
                                  </a:graphic>
                                </wp:inline>
                              </w:drawing>
                              <w:t xml:space="preserve">Figure </w:t>
                            </w:r>
                            <w:bookmarkStart w:id="0" w:name="Ref_Figure0_number_only"/>
                            <w:r>
                              <w:rPr>
                                <w:b/>
                                <w:bCs/>
                                <w:i w:val="false"/>
                                <w:iCs w:val="false"/>
                              </w:rPr>
                              <w:fldChar w:fldCharType="begin"/>
                            </w:r>
                            <w:r>
                              <w:rPr>
                                <w:i w:val="false"/>
                                <w:b/>
                                <w:iCs w:val="false"/>
                                <w:bCs/>
                              </w:rPr>
                              <w:instrText xml:space="preserve"> SEQ Figure \* ARABIC </w:instrText>
                            </w:r>
                            <w:r>
                              <w:rPr>
                                <w:i w:val="false"/>
                                <w:b/>
                                <w:iCs w:val="false"/>
                                <w:bCs/>
                              </w:rPr>
                              <w:fldChar w:fldCharType="separate"/>
                            </w:r>
                            <w:r>
                              <w:rPr>
                                <w:i w:val="false"/>
                                <w:b/>
                                <w:iCs w:val="false"/>
                                <w:bCs/>
                              </w:rPr>
                              <w:t>1</w:t>
                            </w:r>
                            <w:r>
                              <w:rPr>
                                <w:i w:val="false"/>
                                <w:b/>
                                <w:iCs w:val="false"/>
                                <w:bCs/>
                              </w:rPr>
                              <w:fldChar w:fldCharType="end"/>
                            </w:r>
                            <w:bookmarkEnd w:id="0"/>
                            <w:r>
                              <w:rPr>
                                <w:b/>
                                <w:bCs/>
                                <w:i w:val="false"/>
                                <w:iCs w:val="false"/>
                              </w:rPr>
                              <w:t xml:space="preserve">: </w:t>
                            </w:r>
                            <w:r>
                              <w:rPr>
                                <w:b w:val="false"/>
                                <w:bCs w:val="false"/>
                                <w:i w:val="false"/>
                                <w:iCs w:val="false"/>
                              </w:rPr>
                              <w:t xml:space="preserve">a) General architecture for the decomposition of any NxN matrix S. b) </w:t>
                            </w:r>
                            <w:r>
                              <w:rPr>
                                <w:b w:val="false"/>
                                <w:bCs w:val="false"/>
                                <w:i w:val="false"/>
                                <w:iCs w:val="false"/>
                              </w:rPr>
                              <w:t>E</w:t>
                            </w:r>
                            <w:r>
                              <w:rPr>
                                <w:b w:val="false"/>
                                <w:bCs w:val="false"/>
                                <w:i w:val="false"/>
                                <w:iCs w:val="false"/>
                              </w:rPr>
                              <w:t>xhibiting error-</w:t>
                            </w:r>
                            <w:r>
                              <w:rPr>
                                <w:b w:val="false"/>
                                <w:bCs w:val="false"/>
                                <w:i w:val="false"/>
                                <w:iCs w:val="false"/>
                              </w:rPr>
                              <w:t>t</w:t>
                            </w:r>
                            <w:r>
                              <w:rPr>
                                <w:b w:val="false"/>
                                <w:bCs w:val="false"/>
                                <w:i w:val="false"/>
                                <w:iCs w:val="false"/>
                              </w:rPr>
                              <w:t>olerance, constant-</w:t>
                            </w:r>
                            <w:r>
                              <w:rPr>
                                <w:b w:val="false"/>
                                <w:bCs w:val="false"/>
                                <w:i w:val="false"/>
                                <w:iCs w:val="false"/>
                              </w:rPr>
                              <w:t>depth</w:t>
                            </w:r>
                            <w:r>
                              <w:rPr>
                                <w:b w:val="false"/>
                                <w:bCs w:val="false"/>
                                <w:i w:val="false"/>
                                <w:iCs w:val="false"/>
                              </w:rPr>
                              <w:t xml:space="preserve"> mixing laye</w:t>
                            </w:r>
                            <w:r>
                              <w:rPr>
                                <w:b w:val="false"/>
                                <w:bCs w:val="false"/>
                                <w:i w:val="false"/>
                                <w:iCs w:val="false"/>
                              </w:rPr>
                              <w:t>r</w:t>
                            </w:r>
                            <w:r>
                              <w:rPr>
                                <w:b w:val="false"/>
                                <w:bCs w:val="false"/>
                                <w:i w:val="false"/>
                                <w:iCs w:val="false"/>
                              </w:rPr>
                              <w:t xml:space="preserve"> </w:t>
                            </w:r>
                            <w:r>
                              <w:rPr>
                                <w:b w:val="false"/>
                                <w:bCs w:val="false"/>
                                <w:i w:val="false"/>
                                <w:iCs w:val="false"/>
                              </w:rPr>
                              <w:t>p</w:t>
                            </w:r>
                            <w:r>
                              <w:rPr>
                                <w:b w:val="false"/>
                                <w:bCs w:val="false"/>
                                <w:i w:val="false"/>
                                <w:iCs w:val="false"/>
                              </w:rPr>
                              <w:t xml:space="preserve">roposed in this work. This periodic </w:t>
                            </w:r>
                            <w:r>
                              <w:rPr>
                                <w:b w:val="false"/>
                                <w:bCs w:val="false"/>
                                <w:i w:val="false"/>
                                <w:iCs w:val="false"/>
                              </w:rPr>
                              <w:t>at the edges</w:t>
                            </w:r>
                            <w:r>
                              <w:rPr>
                                <w:b w:val="false"/>
                                <w:bCs w:val="false"/>
                                <w:i w:val="false"/>
                                <w:iCs w:val="false"/>
                              </w:rPr>
                              <w:t xml:space="preserve"> structure may be realized using integrated optics methods. c) Results of the decomposition algorithm. NSE is the normalized squared error of the target S and realized S. </w:t>
                            </w:r>
                            <w:r>
                              <w:rPr>
                                <w:b w:val="false"/>
                                <w:bCs w:val="false"/>
                                <w:i w:val="false"/>
                                <w:iCs w:val="false"/>
                              </w:rPr>
                              <w:t>Each dot is one of 100 random matrices, solid line is mean, shaded are contains 90% of dots.</w:t>
                            </w:r>
                            <w:r>
                              <w:rPr>
                                <w:b w:val="false"/>
                                <w:bCs w:val="false"/>
                                <w:i w:val="false"/>
                                <w:iCs w:val="false"/>
                              </w:rPr>
                              <w:t xml:space="preserve"> d) Designations on the figure.</w:t>
                            </w:r>
                          </w:p>
                        </w:txbxContent>
                      </wps:txbx>
                      <wps:bodyPr anchor="t" lIns="0" tIns="0" rIns="0" bIns="0">
                        <a:noAutofit/>
                      </wps:bodyPr>
                    </wps:wsp>
                  </a:graphicData>
                </a:graphic>
              </wp:anchor>
            </w:drawing>
          </mc:Choice>
          <mc:Fallback>
            <w:pict>
              <v:rect style="position:absolute;rotation:-0;width:457.35pt;height:474.65pt;mso-wrap-distance-left:0pt;mso-wrap-distance-right:0pt;mso-wrap-distance-top:0pt;mso-wrap-distance-bottom:0pt;margin-top:0pt;mso-position-vertical:top;mso-position-vertical-relative:text;margin-left:0.95pt;mso-position-horizontal:center;mso-position-horizontal-relative:text">
                <v:textbox inset="0in,0in,0in,0in">
                  <w:txbxContent>
                    <w:p>
                      <w:pPr>
                        <w:pStyle w:val="Figure"/>
                        <w:spacing w:before="120" w:after="120"/>
                        <w:jc w:val="both"/>
                        <w:rPr>
                          <w:b/>
                          <w:bCs/>
                          <w:i w:val="false"/>
                          <w:i w:val="false"/>
                          <w:iCs w:val="false"/>
                        </w:rPr>
                      </w:pPr>
                      <w:r>
                        <w:rPr>
                          <w:b/>
                          <w:bCs/>
                          <w:i w:val="false"/>
                          <w:iCs w:val="false"/>
                        </w:rPr>
                        <w:drawing>
                          <wp:inline distT="0" distB="0" distL="0" distR="0">
                            <wp:extent cx="5210175" cy="439610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6"/>
                                    <a:stretch>
                                      <a:fillRect/>
                                    </a:stretch>
                                  </pic:blipFill>
                                  <pic:spPr bwMode="auto">
                                    <a:xfrm>
                                      <a:off x="0" y="0"/>
                                      <a:ext cx="5210175" cy="4396105"/>
                                    </a:xfrm>
                                    <a:prstGeom prst="rect">
                                      <a:avLst/>
                                    </a:prstGeom>
                                  </pic:spPr>
                                </pic:pic>
                              </a:graphicData>
                            </a:graphic>
                          </wp:inline>
                        </w:drawing>
                        <w:t xml:space="preserve">Figure </w:t>
                      </w:r>
                      <w:bookmarkStart w:id="1" w:name="Ref_Figure0_number_only"/>
                      <w:r>
                        <w:rPr>
                          <w:b/>
                          <w:bCs/>
                          <w:i w:val="false"/>
                          <w:iCs w:val="false"/>
                        </w:rPr>
                        <w:fldChar w:fldCharType="begin"/>
                      </w:r>
                      <w:r>
                        <w:rPr>
                          <w:i w:val="false"/>
                          <w:b/>
                          <w:iCs w:val="false"/>
                          <w:bCs/>
                        </w:rPr>
                        <w:instrText xml:space="preserve"> SEQ Figure \* ARABIC </w:instrText>
                      </w:r>
                      <w:r>
                        <w:rPr>
                          <w:i w:val="false"/>
                          <w:b/>
                          <w:iCs w:val="false"/>
                          <w:bCs/>
                        </w:rPr>
                        <w:fldChar w:fldCharType="separate"/>
                      </w:r>
                      <w:r>
                        <w:rPr>
                          <w:i w:val="false"/>
                          <w:b/>
                          <w:iCs w:val="false"/>
                          <w:bCs/>
                        </w:rPr>
                        <w:t>1</w:t>
                      </w:r>
                      <w:r>
                        <w:rPr>
                          <w:i w:val="false"/>
                          <w:b/>
                          <w:iCs w:val="false"/>
                          <w:bCs/>
                        </w:rPr>
                        <w:fldChar w:fldCharType="end"/>
                      </w:r>
                      <w:bookmarkEnd w:id="1"/>
                      <w:r>
                        <w:rPr>
                          <w:b/>
                          <w:bCs/>
                          <w:i w:val="false"/>
                          <w:iCs w:val="false"/>
                        </w:rPr>
                        <w:t xml:space="preserve">: </w:t>
                      </w:r>
                      <w:r>
                        <w:rPr>
                          <w:b w:val="false"/>
                          <w:bCs w:val="false"/>
                          <w:i w:val="false"/>
                          <w:iCs w:val="false"/>
                        </w:rPr>
                        <w:t xml:space="preserve">a) General architecture for the decomposition of any NxN matrix S. b) </w:t>
                      </w:r>
                      <w:r>
                        <w:rPr>
                          <w:b w:val="false"/>
                          <w:bCs w:val="false"/>
                          <w:i w:val="false"/>
                          <w:iCs w:val="false"/>
                        </w:rPr>
                        <w:t>E</w:t>
                      </w:r>
                      <w:r>
                        <w:rPr>
                          <w:b w:val="false"/>
                          <w:bCs w:val="false"/>
                          <w:i w:val="false"/>
                          <w:iCs w:val="false"/>
                        </w:rPr>
                        <w:t>xhibiting error-</w:t>
                      </w:r>
                      <w:r>
                        <w:rPr>
                          <w:b w:val="false"/>
                          <w:bCs w:val="false"/>
                          <w:i w:val="false"/>
                          <w:iCs w:val="false"/>
                        </w:rPr>
                        <w:t>t</w:t>
                      </w:r>
                      <w:r>
                        <w:rPr>
                          <w:b w:val="false"/>
                          <w:bCs w:val="false"/>
                          <w:i w:val="false"/>
                          <w:iCs w:val="false"/>
                        </w:rPr>
                        <w:t>olerance, constant-</w:t>
                      </w:r>
                      <w:r>
                        <w:rPr>
                          <w:b w:val="false"/>
                          <w:bCs w:val="false"/>
                          <w:i w:val="false"/>
                          <w:iCs w:val="false"/>
                        </w:rPr>
                        <w:t>depth</w:t>
                      </w:r>
                      <w:r>
                        <w:rPr>
                          <w:b w:val="false"/>
                          <w:bCs w:val="false"/>
                          <w:i w:val="false"/>
                          <w:iCs w:val="false"/>
                        </w:rPr>
                        <w:t xml:space="preserve"> mixing laye</w:t>
                      </w:r>
                      <w:r>
                        <w:rPr>
                          <w:b w:val="false"/>
                          <w:bCs w:val="false"/>
                          <w:i w:val="false"/>
                          <w:iCs w:val="false"/>
                        </w:rPr>
                        <w:t>r</w:t>
                      </w:r>
                      <w:r>
                        <w:rPr>
                          <w:b w:val="false"/>
                          <w:bCs w:val="false"/>
                          <w:i w:val="false"/>
                          <w:iCs w:val="false"/>
                        </w:rPr>
                        <w:t xml:space="preserve"> </w:t>
                      </w:r>
                      <w:r>
                        <w:rPr>
                          <w:b w:val="false"/>
                          <w:bCs w:val="false"/>
                          <w:i w:val="false"/>
                          <w:iCs w:val="false"/>
                        </w:rPr>
                        <w:t>p</w:t>
                      </w:r>
                      <w:r>
                        <w:rPr>
                          <w:b w:val="false"/>
                          <w:bCs w:val="false"/>
                          <w:i w:val="false"/>
                          <w:iCs w:val="false"/>
                        </w:rPr>
                        <w:t xml:space="preserve">roposed in this work. This periodic </w:t>
                      </w:r>
                      <w:r>
                        <w:rPr>
                          <w:b w:val="false"/>
                          <w:bCs w:val="false"/>
                          <w:i w:val="false"/>
                          <w:iCs w:val="false"/>
                        </w:rPr>
                        <w:t>at the edges</w:t>
                      </w:r>
                      <w:r>
                        <w:rPr>
                          <w:b w:val="false"/>
                          <w:bCs w:val="false"/>
                          <w:i w:val="false"/>
                          <w:iCs w:val="false"/>
                        </w:rPr>
                        <w:t xml:space="preserve"> structure may be realized using integrated optics methods. c) Results of the decomposition algorithm. NSE is the normalized squared error of the target S and realized S. </w:t>
                      </w:r>
                      <w:r>
                        <w:rPr>
                          <w:b w:val="false"/>
                          <w:bCs w:val="false"/>
                          <w:i w:val="false"/>
                          <w:iCs w:val="false"/>
                        </w:rPr>
                        <w:t>Each dot is one of 100 random matrices, solid line is mean, shaded are contains 90% of dots.</w:t>
                      </w:r>
                      <w:r>
                        <w:rPr>
                          <w:b w:val="false"/>
                          <w:bCs w:val="false"/>
                          <w:i w:val="false"/>
                          <w:iCs w:val="false"/>
                        </w:rPr>
                        <w:t xml:space="preserve"> d) Designations on the figure.</w:t>
                      </w:r>
                    </w:p>
                  </w:txbxContent>
                </v:textbox>
                <w10:wrap type="square" side="largest"/>
              </v:rect>
            </w:pict>
          </mc:Fallback>
        </mc:AlternateContent>
      </w:r>
    </w:p>
    <w:p>
      <w:pPr>
        <w:pStyle w:val="1"/>
        <w:spacing w:lineRule="auto" w:line="256"/>
        <w:ind w:hanging="0" w:start="0" w:end="0"/>
        <w:jc w:val="both"/>
        <w:rPr/>
      </w:pPr>
      <w:r>
        <w:rPr/>
      </w:r>
    </w:p>
    <w:sectPr>
      <w:type w:val="nextPage"/>
      <w:pgSz w:w="11906" w:h="16838"/>
      <w:pgMar w:left="1361" w:right="1361" w:gutter="0" w:header="0" w:top="1134" w:footer="0" w:bottom="125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w:charset w:val="01" w:characterSet="utf-8"/>
    <w:family w:val="swiss"/>
    <w:pitch w:val="variable"/>
  </w:font>
  <w:font w:name="Tahoma">
    <w:charset w:val="01" w:characterSet="utf-8"/>
    <w:family w:val="swiss"/>
    <w:pitch w:val="variable"/>
  </w:font>
  <w:font w:name="Liberation Sans">
    <w:altName w:val="Arial"/>
    <w:charset w:val="01" w:characterSet="utf-8"/>
    <w:family w:val="swiss"/>
    <w:pitch w:val="variable"/>
  </w:font>
  <w:font w:name="Liberation Mono">
    <w:altName w:val="Courier New"/>
    <w:charset w:val="01" w:characterSet="utf-8"/>
    <w:family w:val="modern"/>
    <w:pitch w:val="fixed"/>
  </w:font>
  <w:font w:name="Times New Roman">
    <w:charset w:val="01" w:characterSet="utf-8"/>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pStyle w:val="Heading5"/>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0"/>
        </w:tabs>
        <w:ind w:start="928" w:hanging="360"/>
      </w:pPr>
      <w:rPr>
        <w:i w:val="false"/>
        <w:szCs w:val="20"/>
        <w:lang w:val="en-US"/>
      </w:rPr>
    </w:lvl>
  </w:abstractNum>
  <w:num w:numId="1">
    <w:abstractNumId w:val="1"/>
  </w:num>
  <w:num w:numId="2">
    <w:abstractNumId w:val="2"/>
  </w:num>
</w:numbering>
</file>

<file path=word/settings.xml><?xml version="1.0" encoding="utf-8"?>
<w:settings xmlns:w="http://schemas.openxmlformats.org/wordprocessingml/2006/main">
  <w:zoom w:percent="80"/>
  <w:displayBackgroundShape/>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4"/>
      <w:szCs w:val="24"/>
      <w:lang w:val="ru-RU" w:eastAsia="zh-CN" w:bidi="ar-SA"/>
    </w:rPr>
  </w:style>
  <w:style w:type="paragraph" w:styleId="Heading1">
    <w:name w:val="Heading 1"/>
    <w:basedOn w:val="Heading"/>
    <w:next w:val="BodyText"/>
    <w:qFormat/>
    <w:pPr>
      <w:numPr>
        <w:ilvl w:val="0"/>
        <w:numId w:val="0"/>
      </w:numPr>
      <w:spacing w:before="240" w:after="120"/>
      <w:outlineLvl w:val="0"/>
    </w:pPr>
    <w:rPr>
      <w:rFonts w:ascii="Liberation Serif" w:hAnsi="Liberation Serif" w:eastAsia="Noto Serif CJK SC" w:cs="Lohit Devanagari"/>
      <w:b/>
      <w:bCs/>
      <w:sz w:val="48"/>
      <w:szCs w:val="48"/>
    </w:rPr>
  </w:style>
  <w:style w:type="paragraph" w:styleId="Heading2">
    <w:name w:val="Heading 2"/>
    <w:basedOn w:val="Normal"/>
    <w:next w:val="Normal"/>
    <w:qFormat/>
    <w:pPr>
      <w:keepNext w:val="true"/>
      <w:pageBreakBefore/>
      <w:numPr>
        <w:ilvl w:val="1"/>
        <w:numId w:val="1"/>
      </w:numPr>
      <w:spacing w:lineRule="auto" w:line="360" w:before="0" w:after="120"/>
      <w:ind w:firstLine="709" w:start="0" w:end="0"/>
      <w:jc w:val="center"/>
      <w:outlineLvl w:val="1"/>
    </w:pPr>
    <w:rPr>
      <w:b/>
      <w:bCs/>
      <w:iCs/>
      <w:sz w:val="28"/>
      <w:szCs w:val="28"/>
    </w:rPr>
  </w:style>
  <w:style w:type="paragraph" w:styleId="Heading5">
    <w:name w:val="Heading 5"/>
    <w:basedOn w:val="Heading"/>
    <w:next w:val="BodyText"/>
    <w:qFormat/>
    <w:pPr>
      <w:numPr>
        <w:ilvl w:val="4"/>
        <w:numId w:val="1"/>
      </w:numPr>
      <w:spacing w:before="120" w:after="60"/>
      <w:outlineLvl w:val="4"/>
    </w:pPr>
    <w:rPr>
      <w:rFonts w:ascii="Liberation Serif;Times New Roman" w:hAnsi="Liberation Serif;Times New Roman" w:eastAsia="Noto Serif CJK SC" w:cs="Lohit Devanagari"/>
      <w:b/>
      <w:bCs/>
      <w:sz w:val="20"/>
      <w:szCs w:val="20"/>
    </w:rPr>
  </w:style>
  <w:style w:type="character" w:styleId="WW8Num2z0">
    <w:name w:val="WW8Num2z0"/>
    <w:qFormat/>
    <w:rPr>
      <w:i w:val="false"/>
      <w:szCs w:val="20"/>
      <w:lang w:val="en-U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val="false"/>
      <w:color w:val="000000"/>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Style11">
    <w:name w:val="Основной шрифт абзаца"/>
    <w:qFormat/>
    <w:rPr/>
  </w:style>
  <w:style w:type="character" w:styleId="Emphasis">
    <w:name w:val="Emphasis"/>
    <w:qFormat/>
    <w:rPr>
      <w:i/>
      <w:iCs/>
    </w:rPr>
  </w:style>
  <w:style w:type="character" w:styleId="Apple-converted-space">
    <w:name w:val="apple-converted-space"/>
    <w:basedOn w:val="Style11"/>
    <w:qFormat/>
    <w:rPr/>
  </w:style>
  <w:style w:type="character" w:styleId="Hyperlink">
    <w:name w:val="Hyperlink"/>
    <w:rPr>
      <w:color w:val="0000FF"/>
      <w:u w:val="single"/>
    </w:rPr>
  </w:style>
  <w:style w:type="character" w:styleId="Style12">
    <w:name w:val="Без интервала Знак"/>
    <w:qFormat/>
    <w:rPr>
      <w:rFonts w:ascii="Calibri" w:hAnsi="Calibri" w:cs="Calibri"/>
      <w:sz w:val="22"/>
      <w:szCs w:val="22"/>
      <w:lang w:val="ru-RU" w:bidi="ar-SA"/>
    </w:rPr>
  </w:style>
  <w:style w:type="character" w:styleId="2">
    <w:name w:val="Заголовок 2 Знак"/>
    <w:qFormat/>
    <w:rPr>
      <w:b/>
      <w:bCs/>
      <w:iCs/>
      <w:sz w:val="28"/>
      <w:szCs w:val="28"/>
      <w:lang w:val="ru-RU" w:bidi="ar-SA"/>
    </w:rPr>
  </w:style>
  <w:style w:type="character" w:styleId="PageNumber">
    <w:name w:val="Page Number"/>
    <w:basedOn w:val="Style11"/>
    <w:rPr/>
  </w:style>
  <w:style w:type="character" w:styleId="Style13">
    <w:name w:val="Замещающий текст"/>
    <w:qFormat/>
    <w:rPr>
      <w:color w:val="808080"/>
    </w:rPr>
  </w:style>
  <w:style w:type="character" w:styleId="Style14">
    <w:name w:val="Текст выноски Знак"/>
    <w:qFormat/>
    <w:rPr>
      <w:rFonts w:ascii="Tahoma" w:hAnsi="Tahoma" w:cs="Tahoma"/>
      <w:sz w:val="16"/>
      <w:szCs w:val="16"/>
    </w:rPr>
  </w:style>
  <w:style w:type="character" w:styleId="Style15">
    <w:name w:val="Верхний колонтитул Знак"/>
    <w:basedOn w:val="Style11"/>
    <w:qFormat/>
    <w:rPr>
      <w:sz w:val="24"/>
      <w:szCs w:val="24"/>
    </w:rPr>
  </w:style>
  <w:style w:type="paragraph" w:styleId="Heading">
    <w:name w:val="Heading"/>
    <w:basedOn w:val="Normal"/>
    <w:next w:val="BodyText"/>
    <w:qFormat/>
    <w:pPr>
      <w:keepNext w:val="true"/>
      <w:spacing w:before="240" w:after="120"/>
    </w:pPr>
    <w:rPr>
      <w:rFonts w:ascii="Liberation Sans;Arial" w:hAnsi="Liberation Sans;Arial"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6">
    <w:name w:val="Без интервала"/>
    <w:qFormat/>
    <w:pPr>
      <w:widowControl/>
      <w:suppressAutoHyphens w:val="true"/>
      <w:kinsoku w:val="true"/>
      <w:overflowPunct w:val="true"/>
      <w:autoSpaceDE w:val="true"/>
      <w:bidi w:val="0"/>
    </w:pPr>
    <w:rPr>
      <w:rFonts w:ascii="Calibri" w:hAnsi="Calibri" w:eastAsia="Times New Roman" w:cs="Calibri"/>
      <w:color w:val="auto"/>
      <w:sz w:val="22"/>
      <w:szCs w:val="22"/>
      <w:lang w:val="ru-RU" w:eastAsia="zh-CN" w:bidi="ar-SA"/>
    </w:rPr>
  </w:style>
  <w:style w:type="paragraph" w:styleId="Style17">
    <w:name w:val="Обычный (веб)"/>
    <w:basedOn w:val="Normal"/>
    <w:qFormat/>
    <w:pPr>
      <w:spacing w:before="280" w:after="280"/>
    </w:pPr>
    <w:rPr/>
  </w:style>
  <w:style w:type="paragraph" w:styleId="HeaderandFooter">
    <w:name w:val="Header and Footer"/>
    <w:basedOn w:val="Normal"/>
    <w:qFormat/>
    <w:pPr>
      <w:suppressLineNumbers/>
      <w:tabs>
        <w:tab w:val="clear" w:pos="708"/>
        <w:tab w:val="center" w:pos="4986" w:leader="none"/>
        <w:tab w:val="right" w:pos="9972" w:leader="none"/>
      </w:tabs>
    </w:pPr>
    <w:rPr/>
  </w:style>
  <w:style w:type="paragraph" w:styleId="Footer">
    <w:name w:val="Footer"/>
    <w:basedOn w:val="Normal"/>
    <w:pPr/>
    <w:rPr/>
  </w:style>
  <w:style w:type="paragraph" w:styleId="Style18">
    <w:name w:val="Абзац списка"/>
    <w:basedOn w:val="Normal"/>
    <w:qFormat/>
    <w:pPr>
      <w:spacing w:before="0" w:after="0"/>
      <w:ind w:hanging="0" w:start="720" w:end="0"/>
      <w:contextualSpacing/>
    </w:pPr>
    <w:rPr/>
  </w:style>
  <w:style w:type="paragraph" w:styleId="Style19">
    <w:name w:val="Текст выноски"/>
    <w:basedOn w:val="Normal"/>
    <w:qFormat/>
    <w:pPr/>
    <w:rPr>
      <w:rFonts w:ascii="Tahoma" w:hAnsi="Tahoma" w:cs="Tahoma"/>
      <w:sz w:val="16"/>
      <w:szCs w:val="16"/>
      <w:lang w:val="ru-RU"/>
    </w:rPr>
  </w:style>
  <w:style w:type="paragraph" w:styleId="Header">
    <w:name w:val="Header"/>
    <w:basedOn w:val="Normal"/>
    <w:pPr>
      <w:tabs>
        <w:tab w:val="clear" w:pos="708"/>
        <w:tab w:val="center" w:pos="4677" w:leader="none"/>
        <w:tab w:val="right" w:pos="9355"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1">
    <w:name w:val="Абзац списка1"/>
    <w:basedOn w:val="Normal"/>
    <w:qFormat/>
    <w:pPr>
      <w:spacing w:before="0" w:after="0"/>
      <w:ind w:hanging="0" w:start="720" w:end="0"/>
      <w:contextualSpacing/>
    </w:pPr>
    <w:rPr/>
  </w:style>
  <w:style w:type="paragraph" w:styleId="Figure">
    <w:name w:val="Figure"/>
    <w:basedOn w:val="Caption"/>
    <w:qFormat/>
    <w:pPr/>
    <w:rPr/>
  </w:style>
  <w:style w:type="paragraph" w:styleId="Text">
    <w:name w:val="Text"/>
    <w:basedOn w:val="Caption"/>
    <w:qFormat/>
    <w:pPr/>
    <w:rPr/>
  </w:style>
  <w:style w:type="paragraph" w:styleId="FrameContents">
    <w:name w:val="Frame Contents"/>
    <w:basedOn w:val="Normal"/>
    <w:qFormat/>
    <w:pPr/>
    <w:rPr/>
  </w:style>
  <w:style w:type="paragraph" w:styleId="IndexHeading">
    <w:name w:val="Index Heading"/>
    <w:basedOn w:val="Heading"/>
    <w:pPr>
      <w:suppressLineNumbers/>
      <w:ind w:hanging="0" w:start="0"/>
    </w:pPr>
    <w:rPr>
      <w:b/>
      <w:bCs/>
      <w:sz w:val="32"/>
      <w:szCs w:val="32"/>
    </w:rPr>
  </w:style>
  <w:style w:type="paragraph" w:styleId="TableofAuthorities">
    <w:name w:val="Table of Authorities"/>
    <w:basedOn w:val="IndexHeading"/>
    <w:autoRedefine/>
    <w:pPr>
      <w:suppressLineNumbers/>
      <w:tabs>
        <w:tab w:val="clear" w:pos="708"/>
      </w:tabs>
      <w:spacing w:before="0" w:after="0"/>
      <w:ind w:hanging="0" w:start="0"/>
      <w:jc w:val="center"/>
    </w:pPr>
    <w:rPr>
      <w:rFonts w:ascii="Liberation Serif" w:hAnsi="Liberation Serif"/>
      <w:b/>
      <w:bCs/>
      <w:sz w:val="24"/>
      <w:szCs w:val="32"/>
    </w:rPr>
  </w:style>
  <w:style w:type="paragraph" w:styleId="Bibliography1">
    <w:name w:val="Bibliography 1"/>
    <w:basedOn w:val="Index"/>
    <w:qFormat/>
    <w:pPr>
      <w:tabs>
        <w:tab w:val="clear" w:pos="708"/>
        <w:tab w:val="right" w:pos="9184" w:leader="dot"/>
      </w:tabs>
      <w:ind w:hanging="0" w:start="0"/>
      <w:jc w:val="both"/>
    </w:pPr>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oi.org/10.1063/5.0053421" TargetMode="External"/><Relationship Id="rId3" Type="http://schemas.openxmlformats.org/officeDocument/2006/relationships/hyperlink" Target="https://doi.org/10.1103/PhysRevApplied.21.014054" TargetMode="External"/><Relationship Id="rId4" Type="http://schemas.openxmlformats.org/officeDocument/2006/relationships/hyperlink" Target="https://doi.org/10.1364/ol.385433" TargetMode="External"/><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Lomonosov</Template>
  <TotalTime>250</TotalTime>
  <Application>LibreOffice/7.6.4.1$Linux_X86_64 LibreOffice_project/60$Build-1</Application>
  <AppVersion>15.0000</AppVersion>
  <Pages>2</Pages>
  <Words>597</Words>
  <Characters>3461</Characters>
  <CharactersWithSpaces>4041</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2024-02-16T12:19:53Z</dcterms:created>
  <dc:creator/>
  <dc:description/>
  <dc:language>ru-RU</dc:language>
  <cp:lastModifiedBy/>
  <dcterms:modified xsi:type="dcterms:W3CDTF">2024-02-16T22:01:58Z</dcterms:modified>
  <cp:revision>9</cp:revision>
  <dc:subject/>
  <dc:title>Lomonosov</dc:title>
</cp:coreProperties>
</file>