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E9" w:rsidRDefault="00364F7E">
      <w:pPr>
        <w:pStyle w:val="1"/>
      </w:pPr>
      <w:proofErr w:type="spellStart"/>
      <w:r w:rsidRPr="00364F7E">
        <w:t>Псевдосимметр</w:t>
      </w:r>
      <w:r>
        <w:t>и</w:t>
      </w:r>
      <w:r w:rsidRPr="00364F7E">
        <w:t>я</w:t>
      </w:r>
      <w:proofErr w:type="spellEnd"/>
      <w:r w:rsidRPr="00364F7E">
        <w:t xml:space="preserve"> в триклинных структурах элементоорганических кр</w:t>
      </w:r>
      <w:r w:rsidRPr="00364F7E">
        <w:t>и</w:t>
      </w:r>
      <w:r w:rsidRPr="00364F7E">
        <w:t>сталлов, претерпевающих фазовый переход второго рода</w:t>
      </w:r>
    </w:p>
    <w:p w:rsidR="00CB1CE9" w:rsidRDefault="00364F7E">
      <w:pPr>
        <w:jc w:val="center"/>
        <w:rPr>
          <w:b/>
          <w:i/>
          <w:strike/>
        </w:rPr>
      </w:pPr>
      <w:proofErr w:type="spellStart"/>
      <w:r>
        <w:rPr>
          <w:b/>
          <w:i/>
        </w:rPr>
        <w:t>Дрожилкин</w:t>
      </w:r>
      <w:proofErr w:type="spellEnd"/>
      <w:r>
        <w:rPr>
          <w:b/>
          <w:i/>
        </w:rPr>
        <w:t xml:space="preserve"> П.Д.</w:t>
      </w:r>
    </w:p>
    <w:p w:rsidR="00CB1CE9" w:rsidRDefault="00364F7E">
      <w:pPr>
        <w:jc w:val="center"/>
        <w:rPr>
          <w:i/>
        </w:rPr>
      </w:pPr>
      <w:r>
        <w:rPr>
          <w:i/>
        </w:rPr>
        <w:t>Аспирант</w:t>
      </w:r>
    </w:p>
    <w:p w:rsidR="00CB1CE9" w:rsidRDefault="00364F7E">
      <w:pPr>
        <w:jc w:val="center"/>
        <w:rPr>
          <w:i/>
        </w:rPr>
      </w:pPr>
      <w:r>
        <w:rPr>
          <w:i/>
        </w:rPr>
        <w:t>Нижегородский государственный университет им. Н.И. Лобачевского,</w:t>
      </w:r>
    </w:p>
    <w:p w:rsidR="00CB1CE9" w:rsidRDefault="00364F7E">
      <w:pPr>
        <w:jc w:val="center"/>
        <w:rPr>
          <w:i/>
        </w:rPr>
      </w:pPr>
      <w:r>
        <w:rPr>
          <w:i/>
        </w:rPr>
        <w:t>Физический факультет, Нижний Новгород, Россия</w:t>
      </w:r>
    </w:p>
    <w:p w:rsidR="00CB1CE9" w:rsidRDefault="00364F7E">
      <w:pPr>
        <w:jc w:val="center"/>
        <w:rPr>
          <w:i/>
        </w:rPr>
      </w:pPr>
      <w:r>
        <w:rPr>
          <w:i/>
          <w:lang w:val="en-US"/>
        </w:rPr>
        <w:t>E</w:t>
      </w:r>
      <w:r>
        <w:rPr>
          <w:i/>
        </w:rPr>
        <w:t>-</w:t>
      </w:r>
      <w:r>
        <w:rPr>
          <w:i/>
          <w:lang w:val="en-US"/>
        </w:rPr>
        <w:t>mail</w:t>
      </w:r>
      <w:r>
        <w:rPr>
          <w:i/>
        </w:rPr>
        <w:t xml:space="preserve">: </w:t>
      </w:r>
      <w:hyperlink r:id="rId7" w:tgtFrame="mailto:pddrozhilkin@yandex.ru">
        <w:r>
          <w:rPr>
            <w:rStyle w:val="af5"/>
            <w:i/>
            <w:lang w:val="en-US"/>
          </w:rPr>
          <w:t>pddrozhilkin</w:t>
        </w:r>
        <w:r>
          <w:rPr>
            <w:rStyle w:val="af5"/>
            <w:i/>
          </w:rPr>
          <w:t>@</w:t>
        </w:r>
        <w:r>
          <w:rPr>
            <w:rStyle w:val="af5"/>
            <w:i/>
            <w:lang w:val="en-US"/>
          </w:rPr>
          <w:t>yandex</w:t>
        </w:r>
        <w:r>
          <w:rPr>
            <w:rStyle w:val="af5"/>
            <w:i/>
          </w:rPr>
          <w:t>.</w:t>
        </w:r>
        <w:proofErr w:type="spellStart"/>
        <w:r>
          <w:rPr>
            <w:rStyle w:val="af5"/>
            <w:i/>
            <w:lang w:val="en-US"/>
          </w:rPr>
          <w:t>ru</w:t>
        </w:r>
        <w:proofErr w:type="spellEnd"/>
      </w:hyperlink>
    </w:p>
    <w:p w:rsidR="00CB1CE9" w:rsidRDefault="00CB1CE9"/>
    <w:p w:rsidR="00CB1CE9" w:rsidRDefault="00364F7E">
      <w:r>
        <w:t>В 1937 г. Л.Д. Ландау выдвинул идею об описании фазовых переходов 2-го рода искажением симметрии физической системы, характеризующимся перестро</w:t>
      </w:r>
      <w:r>
        <w:t>е</w:t>
      </w:r>
      <w:r>
        <w:t xml:space="preserve">нием из </w:t>
      </w:r>
      <w:proofErr w:type="spellStart"/>
      <w:r>
        <w:t>диссимметричной</w:t>
      </w:r>
      <w:proofErr w:type="spellEnd"/>
      <w:r>
        <w:t xml:space="preserve"> фазы </w:t>
      </w:r>
      <w:proofErr w:type="gramStart"/>
      <w:r>
        <w:t>в</w:t>
      </w:r>
      <w:proofErr w:type="gramEnd"/>
      <w:r>
        <w:t xml:space="preserve"> симметричную. Группа симметрии </w:t>
      </w:r>
      <w:r>
        <w:rPr>
          <w:i/>
          <w:lang w:val="en-US"/>
        </w:rPr>
        <w:t>T</w:t>
      </w:r>
      <w:r>
        <w:t>, описыва</w:t>
      </w:r>
      <w:r>
        <w:t>ю</w:t>
      </w:r>
      <w:r>
        <w:t xml:space="preserve">щая </w:t>
      </w:r>
      <w:proofErr w:type="spellStart"/>
      <w:r>
        <w:t>диссимметричную</w:t>
      </w:r>
      <w:proofErr w:type="spellEnd"/>
      <w:r>
        <w:t xml:space="preserve"> фазу, и группа </w:t>
      </w:r>
      <w:r>
        <w:rPr>
          <w:i/>
          <w:lang w:val="en-US"/>
        </w:rPr>
        <w:t>G</w:t>
      </w:r>
      <w:r>
        <w:t>, описывающая симметричную фазу, соотн</w:t>
      </w:r>
      <w:r>
        <w:t>о</w:t>
      </w:r>
      <w:r>
        <w:t xml:space="preserve">сятся как «группа-подгруппа» </w:t>
      </w:r>
      <w:r>
        <w:rPr>
          <w:i/>
          <w:lang w:val="en-US"/>
        </w:rPr>
        <w:t>T</w:t>
      </w:r>
      <w:r>
        <w:t xml:space="preserve"> ⸦ </w:t>
      </w:r>
      <w:r>
        <w:rPr>
          <w:i/>
          <w:lang w:val="en-US"/>
        </w:rPr>
        <w:t>G</w:t>
      </w:r>
      <w:r>
        <w:t xml:space="preserve">. В качестве количественной характеристики, описывающей искажение симметричной фазы по отношению к </w:t>
      </w:r>
      <w:proofErr w:type="spellStart"/>
      <w:r>
        <w:t>диссимметричной</w:t>
      </w:r>
      <w:proofErr w:type="spellEnd"/>
      <w:r>
        <w:t>, был введен параметр порядка [1].</w:t>
      </w:r>
    </w:p>
    <w:p w:rsidR="00CB1CE9" w:rsidRDefault="00364F7E">
      <w:r>
        <w:t xml:space="preserve">В работе [2] было предложено использовать в качестве параметра порядка модифицированную величину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acc>
              <m:accPr>
                <m:chr m:val="^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acc>
          </m:sub>
        </m:sSub>
      </m:oMath>
      <w:r>
        <w:t xml:space="preserve"> – степень инвариантности электронной плотности кристалла относительно оператора </w:t>
      </w:r>
      <m:oMath>
        <m:acc>
          <m:accPr>
            <m:chr m:val="^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acc>
      </m:oMath>
      <w:r>
        <w:t xml:space="preserve">. </w:t>
      </w:r>
      <w:r>
        <w:rPr>
          <w:shd w:val="clear" w:color="auto" w:fill="FFFFFF"/>
        </w:rPr>
        <w:t>Данная величина количественно характериз</w:t>
      </w:r>
      <w:r>
        <w:rPr>
          <w:shd w:val="clear" w:color="auto" w:fill="FFFFFF"/>
        </w:rPr>
        <w:t>у</w:t>
      </w:r>
      <w:r>
        <w:rPr>
          <w:shd w:val="clear" w:color="auto" w:fill="FFFFFF"/>
        </w:rPr>
        <w:t xml:space="preserve">ет степень симметричности электронной плотности модификации с симметрией </w:t>
      </w:r>
      <w:r>
        <w:rPr>
          <w:i/>
          <w:shd w:val="clear" w:color="auto" w:fill="FFFFFF"/>
          <w:lang w:val="en-US"/>
        </w:rPr>
        <w:t>T</w:t>
      </w:r>
      <w:r>
        <w:rPr>
          <w:shd w:val="clear" w:color="auto" w:fill="FFFFFF"/>
          <w:lang w:val="en-US"/>
        </w:rPr>
        <w:t> </w:t>
      </w:r>
      <w:r>
        <w:rPr>
          <w:shd w:val="clear" w:color="auto" w:fill="FFFFFF"/>
        </w:rPr>
        <w:t>=</w:t>
      </w:r>
      <w:r>
        <w:rPr>
          <w:shd w:val="clear" w:color="auto" w:fill="FFFFFF"/>
          <w:lang w:val="en-US"/>
        </w:rPr>
        <w:t> 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e,</m:t>
            </m:r>
            <m:acc>
              <m:accPr>
                <m:chr m:val="^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^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acc>
            <m:r>
              <w:rPr>
                <w:rFonts w:ascii="Cambria Math" w:hAnsi="Cambria Math"/>
              </w:rPr>
              <m:t>,…,</m:t>
            </m:r>
            <m:acc>
              <m:accPr>
                <m:chr m:val="^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acc>
          </m:e>
        </m:d>
      </m:oMath>
      <w:r>
        <w:rPr>
          <w:shd w:val="clear" w:color="auto" w:fill="FFFFFF"/>
        </w:rPr>
        <w:t xml:space="preserve"> относительно операторов симметрии группы </w:t>
      </w:r>
      <w:r>
        <w:rPr>
          <w:i/>
          <w:shd w:val="clear" w:color="auto" w:fill="FFFFFF"/>
          <w:lang w:val="en-US"/>
        </w:rPr>
        <w:t>G</w:t>
      </w:r>
      <w:r>
        <w:rPr>
          <w:shd w:val="clear" w:color="auto" w:fill="FFFFFF"/>
          <w:lang w:val="en-US"/>
        </w:rPr>
        <w:t> </w:t>
      </w:r>
      <w:r>
        <w:rPr>
          <w:shd w:val="clear" w:color="auto" w:fill="FFFFFF"/>
        </w:rPr>
        <w:t>=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e,</m:t>
            </m:r>
            <m:acc>
              <m:accPr>
                <m:chr m:val="^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^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acc>
            <m:r>
              <w:rPr>
                <w:rFonts w:ascii="Cambria Math" w:hAnsi="Cambria Math"/>
              </w:rPr>
              <m:t>,…,</m:t>
            </m:r>
            <m:acc>
              <m:accPr>
                <m:chr m:val="^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</m:e>
            </m:acc>
          </m:e>
        </m:d>
      </m:oMath>
      <w:r>
        <w:rPr>
          <w:shd w:val="clear" w:color="auto" w:fill="FFFFFF"/>
        </w:rPr>
        <w:t xml:space="preserve"> (</w:t>
      </w:r>
      <w:r>
        <w:rPr>
          <w:i/>
          <w:shd w:val="clear" w:color="auto" w:fill="FFFFFF"/>
          <w:lang w:val="en-US"/>
        </w:rPr>
        <w:t>n</w:t>
      </w:r>
      <w:r>
        <w:rPr>
          <w:i/>
          <w:shd w:val="clear" w:color="auto" w:fill="FFFFFF"/>
        </w:rPr>
        <w:t xml:space="preserve"> &lt; </w:t>
      </w:r>
      <w:r>
        <w:rPr>
          <w:i/>
          <w:shd w:val="clear" w:color="auto" w:fill="FFFFFF"/>
          <w:lang w:val="en-US"/>
        </w:rPr>
        <w:t>m</w:t>
      </w:r>
      <w:r>
        <w:rPr>
          <w:shd w:val="clear" w:color="auto" w:fill="FFFFFF"/>
        </w:rPr>
        <w:t>) и рассчитывается отдельно для каждого оператора. Величина степени инв</w:t>
      </w:r>
      <w:r>
        <w:rPr>
          <w:shd w:val="clear" w:color="auto" w:fill="FFFFFF"/>
        </w:rPr>
        <w:t>а</w:t>
      </w:r>
      <w:r>
        <w:rPr>
          <w:shd w:val="clear" w:color="auto" w:fill="FFFFFF"/>
        </w:rPr>
        <w:t xml:space="preserve">риантности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acc>
              <m:accPr>
                <m:chr m:val="^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g</m:t>
                </m:r>
              </m:e>
            </m:acc>
          </m:sub>
        </m:sSub>
      </m:oMath>
      <w:r>
        <w:rPr>
          <w:shd w:val="clear" w:color="auto" w:fill="FFFFFF"/>
          <w:vertAlign w:val="subscript"/>
        </w:rPr>
        <w:t xml:space="preserve"> </w:t>
      </w:r>
      <w:r>
        <w:rPr>
          <w:shd w:val="clear" w:color="auto" w:fill="FFFFFF"/>
        </w:rPr>
        <w:t xml:space="preserve">определяется функционалом вида </w:t>
      </w:r>
    </w:p>
    <w:tbl>
      <w:tblPr>
        <w:tblStyle w:val="aff9"/>
        <w:tblW w:w="9039" w:type="dxa"/>
        <w:tblLayout w:type="fixed"/>
        <w:tblLook w:val="04A0" w:firstRow="1" w:lastRow="0" w:firstColumn="1" w:lastColumn="0" w:noHBand="0" w:noVBand="1"/>
      </w:tblPr>
      <w:tblGrid>
        <w:gridCol w:w="8046"/>
        <w:gridCol w:w="993"/>
      </w:tblGrid>
      <w:tr w:rsidR="00CB1CE9"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CE9" w:rsidRDefault="009C65B2">
            <w:pPr>
              <w:jc w:val="center"/>
              <w:rPr>
                <w:rFonts w:eastAsia="Calibri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η</m:t>
                    </m:r>
                  </m:e>
                  <m:sub>
                    <m:acc>
                      <m:accPr>
                        <m:chr m:val="^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acc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ρ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nary>
                      <m:naryPr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sub>
                      <m:sup/>
                      <m:e>
                        <m:r>
                          <w:rPr>
                            <w:rFonts w:ascii="Cambria Math" w:hAnsi="Cambria Math"/>
                          </w:rPr>
                          <m:t>ρ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ρ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acc>
                              <m:accPr>
                                <m:chr m:val="^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g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acc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dV</m:t>
                        </m:r>
                      </m:e>
                    </m:nary>
                  </m:num>
                  <m:den>
                    <m:nary>
                      <m:naryPr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sub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ρ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dV</m:t>
                        </m:r>
                      </m:e>
                    </m:nary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CE9" w:rsidRDefault="00364F7E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(1)</w:t>
            </w:r>
          </w:p>
        </w:tc>
      </w:tr>
    </w:tbl>
    <w:p w:rsidR="00CB1CE9" w:rsidRDefault="00364F7E">
      <w:r w:rsidRPr="00364F7E">
        <w:t xml:space="preserve">где </w:t>
      </w:r>
      <m:oMath>
        <m:acc>
          <m:accPr>
            <m:chr m:val="^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acc>
      </m:oMath>
      <w:r w:rsidRPr="00364F7E">
        <w:t xml:space="preserve"> – оператор симметрии надгруппы G (</w:t>
      </w:r>
      <m:oMath>
        <m:acc>
          <m:accPr>
            <m:chr m:val="^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acc>
        <m:r>
          <w:rPr>
            <w:rFonts w:ascii="Cambria Math" w:hAnsi="Cambria Math"/>
          </w:rPr>
          <m:t>∈G∧</m:t>
        </m:r>
        <m:acc>
          <m:accPr>
            <m:chr m:val="^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acc>
        <m:r>
          <w:rPr>
            <w:rFonts w:ascii="Cambria Math" w:hAnsi="Cambria Math"/>
          </w:rPr>
          <m:t>∉T</m:t>
        </m:r>
      </m:oMath>
      <w:r w:rsidRPr="00364F7E">
        <w:t>), V – объем эл</w:t>
      </w:r>
      <w:r w:rsidRPr="00364F7E">
        <w:t>е</w:t>
      </w:r>
      <w:r w:rsidRPr="00364F7E">
        <w:t xml:space="preserve">ментарной ячейки, по которому вычисляется интеграл в (1). </w:t>
      </w:r>
      <w:r>
        <w:t xml:space="preserve">Величина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acc>
              <m:accPr>
                <m:chr m:val="^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acc>
          </m:sub>
        </m:sSub>
      </m:oMath>
      <w:r>
        <w:t xml:space="preserve"> принимает значения от 1 до 0, причем 1 характеризует полную инвариантность электронной плотности относительно оператора</w:t>
      </w:r>
      <w:r>
        <w:rPr>
          <w:rFonts w:eastAsiaTheme="minorEastAsia"/>
          <w:lang w:val="en-US"/>
        </w:rPr>
        <w:t> </w:t>
      </w:r>
      <m:oMath>
        <m:acc>
          <m:accPr>
            <m:chr m:val="^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acc>
      </m:oMath>
      <w:r>
        <w:t>.</w:t>
      </w:r>
    </w:p>
    <w:p w:rsidR="00CB1CE9" w:rsidRDefault="00364F7E">
      <w:r>
        <w:t>Объектами исследования являлись триклинные атомные структуры криста</w:t>
      </w:r>
      <w:r>
        <w:t>л</w:t>
      </w:r>
      <w:r>
        <w:t>лов, опубликованные в Кембриджском банке структурных данных (</w:t>
      </w:r>
      <w:r>
        <w:rPr>
          <w:lang w:val="en-US"/>
        </w:rPr>
        <w:t>CCDC</w:t>
      </w:r>
      <w:r>
        <w:t xml:space="preserve"> 2023) [3]. Были отобраны записи с полной структурной информацией: параметры ячейки, к</w:t>
      </w:r>
      <w:r>
        <w:t>о</w:t>
      </w:r>
      <w:r>
        <w:t>ординаты атомов, пространственная группа симметрии. Записи, содержащие оши</w:t>
      </w:r>
      <w:r>
        <w:t>б</w:t>
      </w:r>
      <w:r>
        <w:t xml:space="preserve">ки: несоответствие группы симметрии в записи </w:t>
      </w:r>
      <w:r>
        <w:rPr>
          <w:lang w:val="en-US"/>
        </w:rPr>
        <w:t>CCDC</w:t>
      </w:r>
      <w:r>
        <w:t xml:space="preserve"> и литературе, наличие </w:t>
      </w:r>
      <w:proofErr w:type="spellStart"/>
      <w:r>
        <w:t>раз</w:t>
      </w:r>
      <w:r>
        <w:t>у</w:t>
      </w:r>
      <w:r>
        <w:t>порядоченности</w:t>
      </w:r>
      <w:proofErr w:type="spellEnd"/>
      <w:r>
        <w:t>; отбрасывались. Фазовые переходы рассматривались также в рамках триклинной сингонии.</w:t>
      </w:r>
    </w:p>
    <w:p w:rsidR="00CB1CE9" w:rsidRDefault="00364F7E">
      <w:r>
        <w:t xml:space="preserve">На первом этапе анализа использовались 2 критерия отбора структур. Первый критерий – </w:t>
      </w:r>
      <w:proofErr w:type="spellStart"/>
      <w:r>
        <w:t>одновеременное</w:t>
      </w:r>
      <w:proofErr w:type="spellEnd"/>
      <w:r>
        <w:t xml:space="preserve"> наличие ключевых слов “</w:t>
      </w:r>
      <w:proofErr w:type="spellStart"/>
      <w:r>
        <w:t>phase</w:t>
      </w:r>
      <w:proofErr w:type="spellEnd"/>
      <w:r>
        <w:t>” и “</w:t>
      </w:r>
      <w:proofErr w:type="spellStart"/>
      <w:r>
        <w:t>transition</w:t>
      </w:r>
      <w:proofErr w:type="spellEnd"/>
      <w:r>
        <w:t>” в литер</w:t>
      </w:r>
      <w:r>
        <w:t>а</w:t>
      </w:r>
      <w:r>
        <w:t>турном источнике (рассматривались работы только на английском языке), к котор</w:t>
      </w:r>
      <w:r>
        <w:t>о</w:t>
      </w:r>
      <w:r>
        <w:t>му относились депонированные структуры, или же прямое указание наличия фазов</w:t>
      </w:r>
      <w:r>
        <w:t>о</w:t>
      </w:r>
      <w:r>
        <w:t>го перехода в записи банка данных. Второй критерий – близость величин параметров ячеек для записей одной структуры (отклонение не более 10% от среднего значения для всех записей). Второй этап анализа заключался в изучении литературных данных и отборе тех структур, для которых было указано наличие фазового перехода втор</w:t>
      </w:r>
      <w:r>
        <w:t>о</w:t>
      </w:r>
      <w:r>
        <w:t>го рода, или же механизм и род перехода не изучался.</w:t>
      </w:r>
    </w:p>
    <w:p w:rsidR="00CB1CE9" w:rsidRDefault="00364F7E">
      <w:r>
        <w:t>Из 318922 проанализированных записей триклинных структур, представле</w:t>
      </w:r>
      <w:r>
        <w:t>н</w:t>
      </w:r>
      <w:r>
        <w:t xml:space="preserve">ных в </w:t>
      </w:r>
      <w:r>
        <w:rPr>
          <w:lang w:val="en-US"/>
        </w:rPr>
        <w:t>CCDC</w:t>
      </w:r>
      <w:r>
        <w:t>, только 12 удовлетворили всем критериям поиска. Все 12 записей оп</w:t>
      </w:r>
      <w:r>
        <w:t>и</w:t>
      </w:r>
      <w:r>
        <w:t xml:space="preserve">сывали 4 структуры, из которых только в </w:t>
      </w:r>
      <w:r w:rsidR="005B5E4A">
        <w:t>двух</w:t>
      </w:r>
      <w:r>
        <w:t xml:space="preserve"> (</w:t>
      </w:r>
      <w:r>
        <w:rPr>
          <w:lang w:val="en-US"/>
        </w:rPr>
        <w:t>RIDFOA</w:t>
      </w:r>
      <w:r w:rsidR="005B5E4A">
        <w:t xml:space="preserve">, </w:t>
      </w:r>
      <w:r>
        <w:rPr>
          <w:lang w:val="en-US"/>
        </w:rPr>
        <w:t>CAZLAR</w:t>
      </w:r>
      <w:r>
        <w:t xml:space="preserve">) был обнаружен структурный </w:t>
      </w:r>
      <w:r w:rsidR="005B5E4A">
        <w:t xml:space="preserve">переход 2-го рода [4, 5], </w:t>
      </w:r>
      <w:r>
        <w:t xml:space="preserve">в </w:t>
      </w:r>
      <w:r w:rsidR="005B5E4A">
        <w:t xml:space="preserve">структуре </w:t>
      </w:r>
      <w:r w:rsidR="005B5E4A">
        <w:rPr>
          <w:lang w:val="en-US"/>
        </w:rPr>
        <w:t>WANJAA</w:t>
      </w:r>
      <w:r w:rsidR="005B5E4A">
        <w:t xml:space="preserve"> сообщается о смеша</w:t>
      </w:r>
      <w:r w:rsidR="005B5E4A">
        <w:t>н</w:t>
      </w:r>
      <w:r w:rsidR="005B5E4A">
        <w:t>ном характере перехода</w:t>
      </w:r>
      <w:r w:rsidR="005B5E4A" w:rsidRPr="005B5E4A">
        <w:t xml:space="preserve"> [6]</w:t>
      </w:r>
      <w:r w:rsidR="005B5E4A">
        <w:t xml:space="preserve">, а в </w:t>
      </w:r>
      <w:r>
        <w:rPr>
          <w:lang w:val="en-US"/>
        </w:rPr>
        <w:t>YOZZAQ</w:t>
      </w:r>
      <w:r>
        <w:t xml:space="preserve"> подробно механизм фазового перехода</w:t>
      </w:r>
      <w:r w:rsidR="000506FE" w:rsidRPr="000506FE">
        <w:t xml:space="preserve"> </w:t>
      </w:r>
      <w:r w:rsidR="000506FE">
        <w:t>п</w:t>
      </w:r>
      <w:r w:rsidR="000506FE">
        <w:t>о</w:t>
      </w:r>
      <w:r w:rsidR="000506FE">
        <w:t>дробно</w:t>
      </w:r>
      <w:r>
        <w:t xml:space="preserve"> не изучался</w:t>
      </w:r>
      <w:r w:rsidR="005B5E4A">
        <w:t xml:space="preserve"> </w:t>
      </w:r>
      <w:r>
        <w:t>[</w:t>
      </w:r>
      <w:r>
        <w:rPr>
          <w:rFonts w:eastAsia="Times New Roman"/>
          <w:iCs/>
        </w:rPr>
        <w:t>7</w:t>
      </w:r>
      <w:r>
        <w:t>].</w:t>
      </w:r>
    </w:p>
    <w:p w:rsidR="00CB1CE9" w:rsidRDefault="00364F7E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>Структурный фазовый переход, проходящий в рамках триклинной сингонии, как правило, будет сопровождаться появлением новых трансляций или кратным ув</w:t>
      </w:r>
      <w:r>
        <w:rPr>
          <w:shd w:val="clear" w:color="auto" w:fill="FFFFFF"/>
        </w:rPr>
        <w:t>е</w:t>
      </w:r>
      <w:r>
        <w:rPr>
          <w:shd w:val="clear" w:color="auto" w:fill="FFFFFF"/>
        </w:rPr>
        <w:t xml:space="preserve">личением длины уже имеющихся трансляций. Трансформация атомной структуры в процессе фазового перехода второго рода может сопровождаться возникновением новых центров инверсии. Таким образом, поиск </w:t>
      </w:r>
      <w:proofErr w:type="spellStart"/>
      <w:r>
        <w:rPr>
          <w:shd w:val="clear" w:color="auto" w:fill="FFFFFF"/>
        </w:rPr>
        <w:t>псевдосимметрии</w:t>
      </w:r>
      <w:proofErr w:type="spellEnd"/>
      <w:r>
        <w:rPr>
          <w:shd w:val="clear" w:color="auto" w:fill="FFFFFF"/>
        </w:rPr>
        <w:t xml:space="preserve"> в таких криста</w:t>
      </w:r>
      <w:r>
        <w:rPr>
          <w:shd w:val="clear" w:color="auto" w:fill="FFFFFF"/>
        </w:rPr>
        <w:t>л</w:t>
      </w:r>
      <w:r>
        <w:rPr>
          <w:shd w:val="clear" w:color="auto" w:fill="FFFFFF"/>
        </w:rPr>
        <w:t>лах целесообразно проводить относительно операций трансляции и инверсии.</w:t>
      </w:r>
    </w:p>
    <w:p w:rsidR="00CB1CE9" w:rsidRDefault="00364F7E">
      <w:r>
        <w:rPr>
          <w:shd w:val="clear" w:color="auto" w:fill="FFFFFF"/>
        </w:rPr>
        <w:t xml:space="preserve">Поиск </w:t>
      </w:r>
      <w:proofErr w:type="spellStart"/>
      <w:r>
        <w:rPr>
          <w:shd w:val="clear" w:color="auto" w:fill="FFFFFF"/>
        </w:rPr>
        <w:t>псевдосимметрии</w:t>
      </w:r>
      <w:proofErr w:type="spellEnd"/>
      <w:r>
        <w:rPr>
          <w:shd w:val="clear" w:color="auto" w:fill="FFFFFF"/>
        </w:rPr>
        <w:t xml:space="preserve"> и вычисление (1) проводился в программе </w:t>
      </w:r>
      <w:proofErr w:type="spellStart"/>
      <w:r>
        <w:rPr>
          <w:shd w:val="clear" w:color="auto" w:fill="FFFFFF"/>
        </w:rPr>
        <w:t>PseudoSymmetry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Studio</w:t>
      </w:r>
      <w:proofErr w:type="spellEnd"/>
      <w:r>
        <w:rPr>
          <w:shd w:val="clear" w:color="auto" w:fill="FFFFFF"/>
        </w:rPr>
        <w:t xml:space="preserve"> из пакета программ </w:t>
      </w:r>
      <w:proofErr w:type="spellStart"/>
      <w:r>
        <w:rPr>
          <w:shd w:val="clear" w:color="auto" w:fill="FFFFFF"/>
        </w:rPr>
        <w:t>PseudoSymmetry</w:t>
      </w:r>
      <w:proofErr w:type="spellEnd"/>
      <w:r>
        <w:rPr>
          <w:shd w:val="clear" w:color="auto" w:fill="FFFFFF"/>
        </w:rPr>
        <w:t xml:space="preserve"> [8]. </w:t>
      </w:r>
      <w:r w:rsidRPr="00364F7E">
        <w:rPr>
          <w:shd w:val="clear" w:color="auto" w:fill="FFFFFF"/>
        </w:rPr>
        <w:t>По результатам ан</w:t>
      </w:r>
      <w:r w:rsidRPr="00364F7E">
        <w:rPr>
          <w:shd w:val="clear" w:color="auto" w:fill="FFFFFF"/>
        </w:rPr>
        <w:t>а</w:t>
      </w:r>
      <w:r w:rsidRPr="00364F7E">
        <w:rPr>
          <w:shd w:val="clear" w:color="auto" w:fill="FFFFFF"/>
        </w:rPr>
        <w:t>лиза в рамках данных критериев поиска обнаружены структурные фазовые перех</w:t>
      </w:r>
      <w:r w:rsidRPr="00364F7E">
        <w:rPr>
          <w:shd w:val="clear" w:color="auto" w:fill="FFFFFF"/>
        </w:rPr>
        <w:t>о</w:t>
      </w:r>
      <w:r w:rsidRPr="00364F7E">
        <w:rPr>
          <w:shd w:val="clear" w:color="auto" w:fill="FFFFFF"/>
        </w:rPr>
        <w:t>ды, сопровождающиеся только появлением центра инверсии. Трансляционных пер</w:t>
      </w:r>
      <w:r w:rsidRPr="00364F7E">
        <w:rPr>
          <w:shd w:val="clear" w:color="auto" w:fill="FFFFFF"/>
        </w:rPr>
        <w:t>е</w:t>
      </w:r>
      <w:r w:rsidRPr="00364F7E">
        <w:rPr>
          <w:shd w:val="clear" w:color="auto" w:fill="FFFFFF"/>
        </w:rPr>
        <w:t>ходов обнаружено не было.</w:t>
      </w:r>
      <w:r>
        <w:rPr>
          <w:shd w:val="clear" w:color="auto" w:fill="FFFFFF"/>
        </w:rPr>
        <w:t xml:space="preserve"> Результаты расчета степени инвариантности электро</w:t>
      </w:r>
      <w:r>
        <w:rPr>
          <w:shd w:val="clear" w:color="auto" w:fill="FFFFFF"/>
        </w:rPr>
        <w:t>н</w:t>
      </w:r>
      <w:r>
        <w:rPr>
          <w:shd w:val="clear" w:color="auto" w:fill="FFFFFF"/>
        </w:rPr>
        <w:t>ной плотности относительно инверсии приведены в табл. 1. </w:t>
      </w:r>
    </w:p>
    <w:tbl>
      <w:tblPr>
        <w:tblStyle w:val="aff9"/>
        <w:tblW w:w="8747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2081"/>
        <w:gridCol w:w="1671"/>
        <w:gridCol w:w="1435"/>
        <w:gridCol w:w="1433"/>
      </w:tblGrid>
      <w:tr w:rsidR="00CB1CE9">
        <w:trPr>
          <w:jc w:val="center"/>
        </w:trPr>
        <w:tc>
          <w:tcPr>
            <w:tcW w:w="874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CB1CE9" w:rsidRDefault="00364F7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Таблица 1. </w:t>
            </w:r>
            <w:r w:rsidRPr="00364F7E">
              <w:t>Результаты расчета степени инвариантности электронной плотности относительно операции инверсии</w:t>
            </w:r>
          </w:p>
        </w:tc>
      </w:tr>
      <w:tr w:rsidR="00CB1CE9">
        <w:trPr>
          <w:jc w:val="center"/>
        </w:trPr>
        <w:tc>
          <w:tcPr>
            <w:tcW w:w="2127" w:type="dxa"/>
            <w:vAlign w:val="center"/>
          </w:tcPr>
          <w:p w:rsidR="00CB1CE9" w:rsidRDefault="00364F7E" w:rsidP="00364F7E">
            <w:pPr>
              <w:ind w:firstLine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  <w:lang w:val="en-US"/>
              </w:rPr>
              <w:t>Refcode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CCDC</w:t>
            </w:r>
          </w:p>
        </w:tc>
        <w:tc>
          <w:tcPr>
            <w:tcW w:w="2081" w:type="dxa"/>
            <w:vAlign w:val="center"/>
          </w:tcPr>
          <w:p w:rsidR="00CB1CE9" w:rsidRDefault="00364F7E" w:rsidP="00364F7E">
            <w:pPr>
              <w:ind w:firstLine="0"/>
              <w:jc w:val="center"/>
              <w:rPr>
                <w:lang w:val="en-US"/>
              </w:rPr>
            </w:pPr>
            <w:r>
              <w:rPr>
                <w:rFonts w:eastAsia="Calibri"/>
              </w:rPr>
              <w:t>Хим. формула</w:t>
            </w:r>
          </w:p>
        </w:tc>
        <w:tc>
          <w:tcPr>
            <w:tcW w:w="1671" w:type="dxa"/>
            <w:vAlign w:val="center"/>
          </w:tcPr>
          <w:p w:rsidR="00CB1CE9" w:rsidRDefault="00364F7E" w:rsidP="00364F7E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T</w:t>
            </w:r>
            <w:r>
              <w:rPr>
                <w:rFonts w:eastAsia="Calibri"/>
                <w:vertAlign w:val="subscript"/>
              </w:rPr>
              <w:t>перехода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  <w:lang w:val="en-US"/>
              </w:rPr>
              <w:t>K</w:t>
            </w:r>
          </w:p>
        </w:tc>
        <w:tc>
          <w:tcPr>
            <w:tcW w:w="1435" w:type="dxa"/>
            <w:vAlign w:val="center"/>
          </w:tcPr>
          <w:p w:rsidR="00CB1CE9" w:rsidRDefault="009C65B2" w:rsidP="00364F7E">
            <w:pPr>
              <w:ind w:firstLine="0"/>
              <w:jc w:val="center"/>
              <w:rPr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η</m:t>
                    </m:r>
                  </m:e>
                  <m:sub>
                    <m:acc>
                      <m:accPr>
                        <m:chr m:val="¯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acc>
                  </m:sub>
                </m:sSub>
              </m:oMath>
            </m:oMathPara>
          </w:p>
        </w:tc>
        <w:tc>
          <w:tcPr>
            <w:tcW w:w="1433" w:type="dxa"/>
            <w:vAlign w:val="center"/>
          </w:tcPr>
          <w:p w:rsidR="00CB1CE9" w:rsidRDefault="009C65B2" w:rsidP="00364F7E">
            <w:pPr>
              <w:ind w:firstLine="0"/>
              <w:jc w:val="center"/>
              <w:rPr>
                <w:b/>
              </w:rPr>
            </w:pPr>
            <m:oMathPara>
              <m:oMathParaPr>
                <m:jc m:val="center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η</m:t>
                        </m:r>
                      </m:e>
                      <m:sub>
                        <m:acc>
                          <m:accPr>
                            <m:chr m:val="¯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acc>
                      </m:sub>
                    </m:sSub>
                  </m:e>
                </m:rad>
              </m:oMath>
            </m:oMathPara>
          </w:p>
        </w:tc>
      </w:tr>
      <w:tr w:rsidR="00CB1CE9">
        <w:trPr>
          <w:jc w:val="center"/>
        </w:trPr>
        <w:tc>
          <w:tcPr>
            <w:tcW w:w="2127" w:type="dxa"/>
            <w:vAlign w:val="center"/>
          </w:tcPr>
          <w:p w:rsidR="00CB1CE9" w:rsidRDefault="00364F7E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RIDFOA</w:t>
            </w:r>
          </w:p>
        </w:tc>
        <w:tc>
          <w:tcPr>
            <w:tcW w:w="2081" w:type="dxa"/>
            <w:vAlign w:val="center"/>
          </w:tcPr>
          <w:p w:rsidR="00CB1CE9" w:rsidRDefault="00364F7E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>
              <w:rPr>
                <w:rFonts w:eastAsia="Calibri"/>
                <w:vertAlign w:val="subscript"/>
              </w:rPr>
              <w:t>9</w:t>
            </w:r>
            <w:r>
              <w:rPr>
                <w:rFonts w:eastAsia="Calibri"/>
              </w:rPr>
              <w:t>H</w:t>
            </w:r>
            <w:r>
              <w:rPr>
                <w:rFonts w:eastAsia="Calibri"/>
                <w:vertAlign w:val="subscript"/>
              </w:rPr>
              <w:t>7</w:t>
            </w:r>
            <w:r>
              <w:rPr>
                <w:rFonts w:eastAsia="Calibri"/>
              </w:rPr>
              <w:t>INO</w:t>
            </w:r>
            <w:r>
              <w:rPr>
                <w:rFonts w:eastAsia="Calibri"/>
                <w:vertAlign w:val="subscript"/>
              </w:rPr>
              <w:t>2</w:t>
            </w:r>
          </w:p>
        </w:tc>
        <w:tc>
          <w:tcPr>
            <w:tcW w:w="1671" w:type="dxa"/>
            <w:vAlign w:val="center"/>
          </w:tcPr>
          <w:p w:rsidR="00CB1CE9" w:rsidRDefault="00364F7E" w:rsidP="00364F7E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269</w:t>
            </w:r>
          </w:p>
        </w:tc>
        <w:tc>
          <w:tcPr>
            <w:tcW w:w="1435" w:type="dxa"/>
            <w:vAlign w:val="center"/>
          </w:tcPr>
          <w:p w:rsidR="00CB1CE9" w:rsidRDefault="00364F7E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0.978(1)</w:t>
            </w:r>
          </w:p>
        </w:tc>
        <w:tc>
          <w:tcPr>
            <w:tcW w:w="1433" w:type="dxa"/>
            <w:vAlign w:val="center"/>
          </w:tcPr>
          <w:p w:rsidR="00CB1CE9" w:rsidRDefault="00364F7E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0.989(1)</w:t>
            </w:r>
          </w:p>
        </w:tc>
      </w:tr>
      <w:tr w:rsidR="00CB1CE9">
        <w:trPr>
          <w:jc w:val="center"/>
        </w:trPr>
        <w:tc>
          <w:tcPr>
            <w:tcW w:w="2127" w:type="dxa"/>
            <w:vAlign w:val="center"/>
          </w:tcPr>
          <w:p w:rsidR="00CB1CE9" w:rsidRDefault="00364F7E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CAZLAR</w:t>
            </w:r>
          </w:p>
        </w:tc>
        <w:tc>
          <w:tcPr>
            <w:tcW w:w="2081" w:type="dxa"/>
            <w:vAlign w:val="center"/>
          </w:tcPr>
          <w:p w:rsidR="00CB1CE9" w:rsidRDefault="00364F7E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C</w:t>
            </w:r>
            <w:r>
              <w:rPr>
                <w:rFonts w:eastAsia="Calibri"/>
                <w:vertAlign w:val="subscript"/>
              </w:rPr>
              <w:t>6</w:t>
            </w:r>
            <w:r>
              <w:rPr>
                <w:rFonts w:eastAsia="Calibri"/>
                <w:lang w:val="en-US"/>
              </w:rPr>
              <w:t>H</w:t>
            </w:r>
            <w:r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lang w:val="en-US"/>
              </w:rPr>
              <w:t>Br</w:t>
            </w:r>
            <w:r>
              <w:rPr>
                <w:rFonts w:eastAsia="Calibri"/>
                <w:vertAlign w:val="subscript"/>
              </w:rPr>
              <w:t>2</w:t>
            </w:r>
            <w:r>
              <w:rPr>
                <w:rFonts w:eastAsia="Calibri"/>
                <w:lang w:val="en-US"/>
              </w:rPr>
              <w:t>OS</w:t>
            </w:r>
            <w:r>
              <w:rPr>
                <w:rFonts w:eastAsia="Calibri"/>
                <w:vertAlign w:val="subscript"/>
              </w:rPr>
              <w:t>2</w:t>
            </w:r>
          </w:p>
        </w:tc>
        <w:tc>
          <w:tcPr>
            <w:tcW w:w="1671" w:type="dxa"/>
            <w:vAlign w:val="center"/>
          </w:tcPr>
          <w:p w:rsidR="00CB1CE9" w:rsidRDefault="00364F7E" w:rsidP="00364F7E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</w:t>
            </w:r>
          </w:p>
        </w:tc>
        <w:tc>
          <w:tcPr>
            <w:tcW w:w="1435" w:type="dxa"/>
            <w:vAlign w:val="center"/>
          </w:tcPr>
          <w:p w:rsidR="00CB1CE9" w:rsidRDefault="00364F7E">
            <w:pPr>
              <w:ind w:firstLine="0"/>
              <w:jc w:val="center"/>
              <w:rPr>
                <w:lang w:val="en-US"/>
              </w:rPr>
            </w:pPr>
            <w:r>
              <w:rPr>
                <w:rFonts w:eastAsia="Calibri"/>
              </w:rPr>
              <w:t>0.</w:t>
            </w:r>
            <w:r>
              <w:rPr>
                <w:rFonts w:eastAsia="Calibri"/>
                <w:lang w:val="en-US"/>
              </w:rPr>
              <w:t>912(1)</w:t>
            </w:r>
          </w:p>
        </w:tc>
        <w:tc>
          <w:tcPr>
            <w:tcW w:w="1433" w:type="dxa"/>
            <w:vAlign w:val="center"/>
          </w:tcPr>
          <w:p w:rsidR="00CB1CE9" w:rsidRDefault="00364F7E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0.955(1)</w:t>
            </w:r>
          </w:p>
        </w:tc>
      </w:tr>
      <w:tr w:rsidR="00CB1CE9">
        <w:trPr>
          <w:jc w:val="center"/>
        </w:trPr>
        <w:tc>
          <w:tcPr>
            <w:tcW w:w="2127" w:type="dxa"/>
            <w:vAlign w:val="center"/>
          </w:tcPr>
          <w:p w:rsidR="00CB1CE9" w:rsidRDefault="00364F7E">
            <w:pPr>
              <w:ind w:firstLine="0"/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WANJAA</w:t>
            </w:r>
          </w:p>
        </w:tc>
        <w:tc>
          <w:tcPr>
            <w:tcW w:w="2081" w:type="dxa"/>
            <w:vAlign w:val="center"/>
          </w:tcPr>
          <w:p w:rsidR="00CB1CE9" w:rsidRDefault="00364F7E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C</w:t>
            </w:r>
            <w:r>
              <w:rPr>
                <w:rFonts w:eastAsia="Calibri"/>
                <w:vertAlign w:val="subscript"/>
              </w:rPr>
              <w:t>6</w:t>
            </w:r>
            <w:r>
              <w:rPr>
                <w:rFonts w:eastAsia="Calibri"/>
                <w:lang w:val="en-US"/>
              </w:rPr>
              <w:t>H</w:t>
            </w:r>
            <w:r>
              <w:rPr>
                <w:rFonts w:eastAsia="Calibri"/>
                <w:vertAlign w:val="subscript"/>
              </w:rPr>
              <w:t>21</w:t>
            </w:r>
            <w:proofErr w:type="spellStart"/>
            <w:r>
              <w:rPr>
                <w:rFonts w:eastAsia="Calibri"/>
                <w:lang w:val="en-US"/>
              </w:rPr>
              <w:t>BiBr</w:t>
            </w:r>
            <w:proofErr w:type="spellEnd"/>
            <w:r>
              <w:rPr>
                <w:rFonts w:eastAsia="Calibri"/>
                <w:vertAlign w:val="subscript"/>
              </w:rPr>
              <w:t>6</w:t>
            </w:r>
            <w:r>
              <w:rPr>
                <w:rFonts w:eastAsia="Calibri"/>
                <w:lang w:val="en-US"/>
              </w:rPr>
              <w:t>N</w:t>
            </w:r>
            <w:r>
              <w:rPr>
                <w:rFonts w:eastAsia="Calibri"/>
                <w:vertAlign w:val="subscript"/>
              </w:rPr>
              <w:t>6</w:t>
            </w:r>
          </w:p>
        </w:tc>
        <w:tc>
          <w:tcPr>
            <w:tcW w:w="1671" w:type="dxa"/>
            <w:vAlign w:val="center"/>
          </w:tcPr>
          <w:p w:rsidR="00CB1CE9" w:rsidRDefault="00364F7E" w:rsidP="00364F7E">
            <w:pPr>
              <w:ind w:firstLine="0"/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98/127</w:t>
            </w:r>
          </w:p>
        </w:tc>
        <w:tc>
          <w:tcPr>
            <w:tcW w:w="1435" w:type="dxa"/>
            <w:vAlign w:val="center"/>
          </w:tcPr>
          <w:p w:rsidR="00CB1CE9" w:rsidRDefault="00364F7E">
            <w:pPr>
              <w:ind w:firstLine="0"/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0.484(1)</w:t>
            </w:r>
          </w:p>
        </w:tc>
        <w:tc>
          <w:tcPr>
            <w:tcW w:w="1433" w:type="dxa"/>
            <w:vAlign w:val="center"/>
          </w:tcPr>
          <w:p w:rsidR="00CB1CE9" w:rsidRDefault="00364F7E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0.696(1)</w:t>
            </w:r>
          </w:p>
        </w:tc>
      </w:tr>
      <w:tr w:rsidR="00CB1CE9">
        <w:trPr>
          <w:jc w:val="center"/>
        </w:trPr>
        <w:tc>
          <w:tcPr>
            <w:tcW w:w="2127" w:type="dxa"/>
            <w:vAlign w:val="center"/>
          </w:tcPr>
          <w:p w:rsidR="00CB1CE9" w:rsidRDefault="00364F7E">
            <w:pPr>
              <w:ind w:firstLine="0"/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YOZZAQ</w:t>
            </w:r>
          </w:p>
        </w:tc>
        <w:tc>
          <w:tcPr>
            <w:tcW w:w="2081" w:type="dxa"/>
            <w:vAlign w:val="center"/>
          </w:tcPr>
          <w:p w:rsidR="00CB1CE9" w:rsidRDefault="00364F7E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C</w:t>
            </w:r>
            <w:r>
              <w:rPr>
                <w:rFonts w:eastAsia="Calibri"/>
                <w:vertAlign w:val="subscript"/>
              </w:rPr>
              <w:t>6</w:t>
            </w:r>
            <w:r>
              <w:rPr>
                <w:rFonts w:eastAsia="Calibri"/>
                <w:lang w:val="en-US"/>
              </w:rPr>
              <w:t>H</w:t>
            </w:r>
            <w:r>
              <w:rPr>
                <w:rFonts w:eastAsia="Calibri"/>
                <w:vertAlign w:val="subscript"/>
              </w:rPr>
              <w:t>4</w:t>
            </w:r>
            <w:proofErr w:type="spellStart"/>
            <w:r>
              <w:rPr>
                <w:rFonts w:eastAsia="Calibri"/>
                <w:lang w:val="en-US"/>
              </w:rPr>
              <w:t>ClNO</w:t>
            </w:r>
            <w:proofErr w:type="spellEnd"/>
            <w:r>
              <w:rPr>
                <w:rFonts w:eastAsia="Calibri"/>
                <w:vertAlign w:val="subscript"/>
              </w:rPr>
              <w:t>2</w:t>
            </w:r>
          </w:p>
        </w:tc>
        <w:tc>
          <w:tcPr>
            <w:tcW w:w="1671" w:type="dxa"/>
            <w:vAlign w:val="center"/>
          </w:tcPr>
          <w:p w:rsidR="00CB1CE9" w:rsidRDefault="00364F7E" w:rsidP="00364F7E">
            <w:pPr>
              <w:ind w:firstLine="0"/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433</w:t>
            </w:r>
          </w:p>
        </w:tc>
        <w:tc>
          <w:tcPr>
            <w:tcW w:w="1435" w:type="dxa"/>
            <w:vAlign w:val="center"/>
          </w:tcPr>
          <w:p w:rsidR="00CB1CE9" w:rsidRDefault="00364F7E">
            <w:pPr>
              <w:ind w:firstLine="0"/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0.588(1)</w:t>
            </w:r>
          </w:p>
        </w:tc>
        <w:tc>
          <w:tcPr>
            <w:tcW w:w="1433" w:type="dxa"/>
            <w:vAlign w:val="center"/>
          </w:tcPr>
          <w:p w:rsidR="00CB1CE9" w:rsidRDefault="00364F7E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0.767(1)</w:t>
            </w:r>
          </w:p>
        </w:tc>
      </w:tr>
    </w:tbl>
    <w:p w:rsidR="00CB1CE9" w:rsidRDefault="00CB1CE9"/>
    <w:p w:rsidR="00CB1CE9" w:rsidRDefault="00364F7E">
      <w:r w:rsidRPr="00364F7E">
        <w:t xml:space="preserve">Величина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η</m:t>
                </m:r>
              </m:e>
              <m:sub>
                <m:acc>
                  <m:accPr>
                    <m:chr m:val="¯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acc>
              </m:sub>
            </m:sSub>
          </m:e>
        </m:rad>
      </m:oMath>
      <w:r w:rsidRPr="00364F7E">
        <w:t xml:space="preserve"> приближенно равна доле электронной плотности, инвариан</w:t>
      </w:r>
      <w:r w:rsidRPr="00364F7E">
        <w:t>т</w:t>
      </w:r>
      <w:r w:rsidRPr="00364F7E">
        <w:t xml:space="preserve">ной относительно рассматриваемого оператора </w:t>
      </w:r>
      <m:oMath>
        <m:acc>
          <m:accPr>
            <m:chr m:val="^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g</m:t>
            </m:r>
          </m:e>
        </m:acc>
      </m:oMath>
      <w:r w:rsidRPr="00364F7E">
        <w:t>. Согласно табл. 1 для структур, претерпевающих структурный фазовый переход 2-го рода, доля электронной пло</w:t>
      </w:r>
      <w:r w:rsidRPr="00364F7E">
        <w:t>т</w:t>
      </w:r>
      <w:r w:rsidRPr="00364F7E">
        <w:t xml:space="preserve">ности, инвариантной относительно операторов подгруппы группы симметрии </w:t>
      </w:r>
      <w:proofErr w:type="spellStart"/>
      <w:r w:rsidRPr="00364F7E">
        <w:t>д</w:t>
      </w:r>
      <w:r w:rsidRPr="00364F7E">
        <w:t>и</w:t>
      </w:r>
      <w:r w:rsidR="009C65B2">
        <w:t>симметричной</w:t>
      </w:r>
      <w:proofErr w:type="spellEnd"/>
      <w:r w:rsidR="009C65B2">
        <w:t xml:space="preserve"> фазы высока </w:t>
      </w:r>
      <w:bookmarkStart w:id="0" w:name="_GoBack"/>
      <w:bookmarkEnd w:id="0"/>
      <w:r w:rsidRPr="00364F7E">
        <w:t xml:space="preserve">и </w:t>
      </w:r>
      <w:r w:rsidR="00726AB5">
        <w:t>близка к единице.</w:t>
      </w:r>
    </w:p>
    <w:p w:rsidR="00364F7E" w:rsidRPr="005B5E4A" w:rsidRDefault="00364F7E">
      <w:pPr>
        <w:tabs>
          <w:tab w:val="left" w:pos="2029"/>
        </w:tabs>
        <w:ind w:firstLine="0"/>
        <w:rPr>
          <w:shd w:val="clear" w:color="auto" w:fill="E0C2CD"/>
        </w:rPr>
      </w:pPr>
    </w:p>
    <w:p w:rsidR="00CB1CE9" w:rsidRPr="00364F7E" w:rsidRDefault="00364F7E">
      <w:pPr>
        <w:tabs>
          <w:tab w:val="left" w:pos="2029"/>
        </w:tabs>
        <w:ind w:firstLine="0"/>
        <w:rPr>
          <w:shd w:val="clear" w:color="auto" w:fill="E0C2CD"/>
          <w:lang w:val="en-US"/>
        </w:rPr>
      </w:pPr>
      <w:r>
        <w:rPr>
          <w:b/>
        </w:rPr>
        <w:t>Литература</w:t>
      </w:r>
    </w:p>
    <w:p w:rsidR="00CB1CE9" w:rsidRDefault="00364F7E">
      <w:pPr>
        <w:pStyle w:val="aff4"/>
        <w:numPr>
          <w:ilvl w:val="0"/>
          <w:numId w:val="1"/>
        </w:numPr>
      </w:pPr>
      <w:r>
        <w:rPr>
          <w:i/>
          <w:iCs/>
        </w:rPr>
        <w:t xml:space="preserve">Ландау Л.Д. </w:t>
      </w:r>
      <w:r>
        <w:t>// ЖЭТФ, 1937, Т. 7, С.1–19</w:t>
      </w:r>
    </w:p>
    <w:p w:rsidR="00CB1CE9" w:rsidRDefault="00364F7E">
      <w:pPr>
        <w:pStyle w:val="aff4"/>
        <w:numPr>
          <w:ilvl w:val="0"/>
          <w:numId w:val="1"/>
        </w:numPr>
      </w:pPr>
      <w:r>
        <w:rPr>
          <w:i/>
          <w:iCs/>
        </w:rPr>
        <w:t>Чупрунов</w:t>
      </w:r>
      <w:r>
        <w:rPr>
          <w:i/>
          <w:iCs/>
          <w:lang w:val="pt-BR"/>
        </w:rPr>
        <w:t xml:space="preserve"> </w:t>
      </w:r>
      <w:r>
        <w:rPr>
          <w:i/>
          <w:iCs/>
        </w:rPr>
        <w:t>Е</w:t>
      </w:r>
      <w:r>
        <w:rPr>
          <w:i/>
          <w:iCs/>
          <w:lang w:val="pt-BR"/>
        </w:rPr>
        <w:t>.</w:t>
      </w:r>
      <w:r>
        <w:rPr>
          <w:i/>
          <w:iCs/>
        </w:rPr>
        <w:t>В</w:t>
      </w:r>
      <w:r>
        <w:rPr>
          <w:i/>
          <w:iCs/>
          <w:lang w:val="pt-BR"/>
        </w:rPr>
        <w:t xml:space="preserve">., </w:t>
      </w:r>
      <w:r>
        <w:rPr>
          <w:i/>
          <w:iCs/>
        </w:rPr>
        <w:t>Солдатов</w:t>
      </w:r>
      <w:r>
        <w:rPr>
          <w:i/>
          <w:iCs/>
          <w:lang w:val="pt-BR"/>
        </w:rPr>
        <w:t xml:space="preserve"> </w:t>
      </w:r>
      <w:r>
        <w:rPr>
          <w:i/>
          <w:iCs/>
        </w:rPr>
        <w:t>Е</w:t>
      </w:r>
      <w:r>
        <w:rPr>
          <w:i/>
          <w:iCs/>
          <w:lang w:val="pt-BR"/>
        </w:rPr>
        <w:t>.</w:t>
      </w:r>
      <w:r>
        <w:rPr>
          <w:i/>
          <w:iCs/>
        </w:rPr>
        <w:t>А</w:t>
      </w:r>
      <w:r>
        <w:rPr>
          <w:i/>
          <w:iCs/>
          <w:lang w:val="pt-BR"/>
        </w:rPr>
        <w:t xml:space="preserve">., </w:t>
      </w:r>
      <w:r>
        <w:rPr>
          <w:i/>
          <w:iCs/>
        </w:rPr>
        <w:t>Тархова</w:t>
      </w:r>
      <w:r>
        <w:rPr>
          <w:i/>
          <w:iCs/>
          <w:lang w:val="pt-BR"/>
        </w:rPr>
        <w:t xml:space="preserve"> </w:t>
      </w:r>
      <w:r>
        <w:rPr>
          <w:i/>
          <w:iCs/>
        </w:rPr>
        <w:t>Т</w:t>
      </w:r>
      <w:r>
        <w:rPr>
          <w:i/>
          <w:iCs/>
          <w:lang w:val="pt-BR"/>
        </w:rPr>
        <w:t>.</w:t>
      </w:r>
      <w:r>
        <w:rPr>
          <w:i/>
          <w:iCs/>
        </w:rPr>
        <w:t>Н</w:t>
      </w:r>
      <w:r>
        <w:rPr>
          <w:i/>
          <w:iCs/>
          <w:lang w:val="pt-BR"/>
        </w:rPr>
        <w:t xml:space="preserve">. </w:t>
      </w:r>
      <w:r>
        <w:rPr>
          <w:lang w:val="pt-BR"/>
        </w:rPr>
        <w:t xml:space="preserve">// </w:t>
      </w:r>
      <w:r>
        <w:t>Кристаллография</w:t>
      </w:r>
      <w:r>
        <w:rPr>
          <w:lang w:val="pt-BR"/>
        </w:rPr>
        <w:t xml:space="preserve">. </w:t>
      </w:r>
      <w:r>
        <w:t>1988. 33. №3. С.759</w:t>
      </w:r>
    </w:p>
    <w:p w:rsidR="00CB1CE9" w:rsidRDefault="00364F7E">
      <w:pPr>
        <w:pStyle w:val="aff4"/>
        <w:numPr>
          <w:ilvl w:val="0"/>
          <w:numId w:val="1"/>
        </w:numPr>
      </w:pPr>
      <w:r>
        <w:rPr>
          <w:i/>
          <w:iCs/>
          <w:lang w:val="en-US"/>
        </w:rPr>
        <w:t>Allen F. H.</w:t>
      </w:r>
      <w:r>
        <w:rPr>
          <w:lang w:val="en-US"/>
        </w:rPr>
        <w:t xml:space="preserve"> // </w:t>
      </w:r>
      <w:proofErr w:type="spellStart"/>
      <w:r>
        <w:rPr>
          <w:lang w:val="en-US"/>
        </w:rPr>
        <w:t>Acta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Cryst</w:t>
      </w:r>
      <w:proofErr w:type="spellEnd"/>
      <w:r>
        <w:rPr>
          <w:lang w:val="en-US"/>
        </w:rPr>
        <w:t>. B</w:t>
      </w:r>
      <w:r>
        <w:t xml:space="preserve">., 2002, </w:t>
      </w:r>
      <w:r>
        <w:rPr>
          <w:lang w:val="en-US"/>
        </w:rPr>
        <w:t>V</w:t>
      </w:r>
      <w:r>
        <w:t xml:space="preserve">. 58, </w:t>
      </w:r>
      <w:r>
        <w:rPr>
          <w:lang w:val="en-US"/>
        </w:rPr>
        <w:t>P</w:t>
      </w:r>
      <w:r>
        <w:t>. 380–388</w:t>
      </w:r>
    </w:p>
    <w:p w:rsidR="00CB1CE9" w:rsidRDefault="00364F7E">
      <w:pPr>
        <w:pStyle w:val="aff4"/>
        <w:numPr>
          <w:ilvl w:val="0"/>
          <w:numId w:val="1"/>
        </w:numPr>
      </w:pPr>
      <w:proofErr w:type="spellStart"/>
      <w:r>
        <w:rPr>
          <w:i/>
          <w:iCs/>
          <w:lang w:val="en-US"/>
        </w:rPr>
        <w:t>Horiuchi</w:t>
      </w:r>
      <w:proofErr w:type="spellEnd"/>
      <w:r>
        <w:rPr>
          <w:i/>
          <w:iCs/>
          <w:lang w:val="en-US"/>
        </w:rPr>
        <w:t xml:space="preserve"> S., </w:t>
      </w:r>
      <w:proofErr w:type="spellStart"/>
      <w:r>
        <w:rPr>
          <w:i/>
          <w:iCs/>
          <w:lang w:val="en-US"/>
        </w:rPr>
        <w:t>Kimai</w:t>
      </w:r>
      <w:proofErr w:type="spellEnd"/>
      <w:r>
        <w:rPr>
          <w:i/>
          <w:iCs/>
          <w:lang w:val="en-US"/>
        </w:rPr>
        <w:t xml:space="preserve"> R., </w:t>
      </w:r>
      <w:proofErr w:type="spellStart"/>
      <w:r>
        <w:rPr>
          <w:i/>
          <w:iCs/>
          <w:lang w:val="en-US"/>
        </w:rPr>
        <w:t>Tokura</w:t>
      </w:r>
      <w:proofErr w:type="spellEnd"/>
      <w:r>
        <w:rPr>
          <w:i/>
          <w:iCs/>
          <w:lang w:val="en-US"/>
        </w:rPr>
        <w:t xml:space="preserve"> Y.</w:t>
      </w:r>
      <w:r>
        <w:rPr>
          <w:lang w:val="en-US"/>
        </w:rPr>
        <w:t xml:space="preserve"> // </w:t>
      </w:r>
      <w:proofErr w:type="spellStart"/>
      <w:r>
        <w:rPr>
          <w:lang w:val="en-US"/>
        </w:rPr>
        <w:t>Angewandte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Chemie</w:t>
      </w:r>
      <w:proofErr w:type="spellEnd"/>
      <w:r>
        <w:rPr>
          <w:lang w:val="en-US"/>
        </w:rPr>
        <w:t xml:space="preserve">. 2007. V. 46. No. 19. P. 3497–3501, </w:t>
      </w:r>
    </w:p>
    <w:p w:rsidR="00364F7E" w:rsidRPr="00364F7E" w:rsidRDefault="00364F7E">
      <w:pPr>
        <w:pStyle w:val="aff4"/>
        <w:numPr>
          <w:ilvl w:val="0"/>
          <w:numId w:val="1"/>
        </w:numPr>
      </w:pPr>
      <w:r>
        <w:rPr>
          <w:rFonts w:eastAsia="Times New Roman"/>
          <w:i/>
          <w:iCs/>
          <w:lang w:val="en-US"/>
        </w:rPr>
        <w:t xml:space="preserve">Garcia P., </w:t>
      </w:r>
      <w:proofErr w:type="spellStart"/>
      <w:r>
        <w:rPr>
          <w:rFonts w:eastAsia="Times New Roman"/>
          <w:i/>
          <w:iCs/>
          <w:lang w:val="en-US"/>
        </w:rPr>
        <w:t>Dahaoui</w:t>
      </w:r>
      <w:proofErr w:type="spellEnd"/>
      <w:r>
        <w:rPr>
          <w:rFonts w:eastAsia="Times New Roman"/>
          <w:i/>
          <w:iCs/>
          <w:lang w:val="en-US"/>
        </w:rPr>
        <w:t xml:space="preserve"> S., </w:t>
      </w:r>
      <w:proofErr w:type="spellStart"/>
      <w:r>
        <w:rPr>
          <w:rFonts w:eastAsia="Times New Roman"/>
          <w:i/>
          <w:iCs/>
          <w:lang w:val="en-US"/>
        </w:rPr>
        <w:t>Fertey</w:t>
      </w:r>
      <w:proofErr w:type="spellEnd"/>
      <w:r>
        <w:rPr>
          <w:rFonts w:eastAsia="Times New Roman"/>
          <w:i/>
          <w:iCs/>
          <w:lang w:val="en-US"/>
        </w:rPr>
        <w:t xml:space="preserve"> P</w:t>
      </w:r>
      <w:r>
        <w:rPr>
          <w:rFonts w:eastAsia="Times New Roman"/>
          <w:lang w:val="en-US"/>
        </w:rPr>
        <w:t xml:space="preserve">. // Phys. Rev. B. 2005. V.72. P. 10411501-10411510, </w:t>
      </w:r>
    </w:p>
    <w:p w:rsidR="00CB1CE9" w:rsidRPr="00364F7E" w:rsidRDefault="00364F7E">
      <w:pPr>
        <w:pStyle w:val="aff4"/>
        <w:numPr>
          <w:ilvl w:val="0"/>
          <w:numId w:val="1"/>
        </w:numPr>
        <w:rPr>
          <w:lang w:val="en-US"/>
        </w:rPr>
      </w:pPr>
      <w:r>
        <w:rPr>
          <w:rFonts w:eastAsia="Times New Roman"/>
          <w:i/>
          <w:iCs/>
          <w:lang w:val="en-US"/>
        </w:rPr>
        <w:t xml:space="preserve">Takahashi Y., </w:t>
      </w:r>
      <w:proofErr w:type="spellStart"/>
      <w:r>
        <w:rPr>
          <w:rFonts w:eastAsia="Times New Roman"/>
          <w:i/>
          <w:iCs/>
          <w:lang w:val="en-US"/>
        </w:rPr>
        <w:t>Nakao</w:t>
      </w:r>
      <w:proofErr w:type="spellEnd"/>
      <w:r>
        <w:rPr>
          <w:rFonts w:eastAsia="Times New Roman"/>
          <w:i/>
          <w:iCs/>
          <w:lang w:val="en-US"/>
        </w:rPr>
        <w:t xml:space="preserve"> H., Kumai R., </w:t>
      </w:r>
      <w:proofErr w:type="gramStart"/>
      <w:r>
        <w:rPr>
          <w:rFonts w:eastAsia="Times New Roman"/>
          <w:i/>
          <w:iCs/>
          <w:lang w:val="en-US"/>
        </w:rPr>
        <w:t>et</w:t>
      </w:r>
      <w:proofErr w:type="gramEnd"/>
      <w:r>
        <w:rPr>
          <w:rFonts w:eastAsia="Times New Roman"/>
          <w:i/>
          <w:iCs/>
          <w:lang w:val="en-US"/>
        </w:rPr>
        <w:t>. al.</w:t>
      </w:r>
      <w:r>
        <w:rPr>
          <w:rFonts w:eastAsia="Times New Roman"/>
          <w:lang w:val="en-US"/>
        </w:rPr>
        <w:t xml:space="preserve"> // J. Phys.: Conf. Ser. 2014. V. 502 (012036). P. 1-5</w:t>
      </w:r>
      <w:r>
        <w:rPr>
          <w:lang w:val="en-US"/>
        </w:rPr>
        <w:t>,</w:t>
      </w:r>
    </w:p>
    <w:p w:rsidR="00CB1CE9" w:rsidRDefault="00364F7E">
      <w:pPr>
        <w:pStyle w:val="aff4"/>
        <w:numPr>
          <w:ilvl w:val="0"/>
          <w:numId w:val="1"/>
        </w:numPr>
        <w:rPr>
          <w:lang w:val="en-US"/>
        </w:rPr>
      </w:pPr>
      <w:proofErr w:type="spellStart"/>
      <w:r>
        <w:rPr>
          <w:rFonts w:eastAsia="Times New Roman"/>
          <w:i/>
          <w:iCs/>
          <w:lang w:val="en-US"/>
        </w:rPr>
        <w:t>Mencel</w:t>
      </w:r>
      <w:proofErr w:type="spellEnd"/>
      <w:r>
        <w:rPr>
          <w:rFonts w:eastAsia="Times New Roman"/>
          <w:i/>
          <w:iCs/>
          <w:lang w:val="en-US"/>
        </w:rPr>
        <w:t xml:space="preserve"> K., </w:t>
      </w:r>
      <w:proofErr w:type="spellStart"/>
      <w:r>
        <w:rPr>
          <w:rFonts w:eastAsia="Times New Roman"/>
          <w:i/>
          <w:iCs/>
          <w:lang w:val="en-US"/>
        </w:rPr>
        <w:t>Kinzhybalo</w:t>
      </w:r>
      <w:proofErr w:type="spellEnd"/>
      <w:r>
        <w:rPr>
          <w:rFonts w:eastAsia="Times New Roman"/>
          <w:i/>
          <w:iCs/>
          <w:lang w:val="en-US"/>
        </w:rPr>
        <w:t xml:space="preserve"> V., </w:t>
      </w:r>
      <w:proofErr w:type="spellStart"/>
      <w:r>
        <w:rPr>
          <w:rFonts w:eastAsia="Times New Roman"/>
          <w:i/>
          <w:iCs/>
          <w:lang w:val="en-US"/>
        </w:rPr>
        <w:t>Jakubas</w:t>
      </w:r>
      <w:proofErr w:type="spellEnd"/>
      <w:r>
        <w:rPr>
          <w:rFonts w:eastAsia="Times New Roman"/>
          <w:i/>
          <w:iCs/>
          <w:lang w:val="en-US"/>
        </w:rPr>
        <w:t xml:space="preserve"> R., </w:t>
      </w:r>
      <w:proofErr w:type="gramStart"/>
      <w:r>
        <w:rPr>
          <w:rFonts w:eastAsia="Times New Roman"/>
          <w:i/>
          <w:iCs/>
          <w:lang w:val="en-US"/>
        </w:rPr>
        <w:t>et</w:t>
      </w:r>
      <w:proofErr w:type="gramEnd"/>
      <w:r>
        <w:rPr>
          <w:rFonts w:eastAsia="Times New Roman"/>
          <w:i/>
          <w:iCs/>
          <w:lang w:val="en-US"/>
        </w:rPr>
        <w:t>. al.</w:t>
      </w:r>
      <w:r>
        <w:rPr>
          <w:rFonts w:eastAsia="Times New Roman"/>
          <w:lang w:val="en-US"/>
        </w:rPr>
        <w:t xml:space="preserve"> // Chem. Mater. 2021. V. 33. P. 8591–8601</w:t>
      </w:r>
    </w:p>
    <w:p w:rsidR="00CB1CE9" w:rsidRDefault="00364F7E">
      <w:pPr>
        <w:pStyle w:val="aff4"/>
        <w:numPr>
          <w:ilvl w:val="0"/>
          <w:numId w:val="1"/>
        </w:numPr>
        <w:rPr>
          <w:lang w:val="en-US"/>
        </w:rPr>
      </w:pPr>
      <w:r>
        <w:rPr>
          <w:rFonts w:eastAsia="Times New Roman"/>
          <w:i/>
          <w:iCs/>
          <w:lang w:val="en-US"/>
        </w:rPr>
        <w:t xml:space="preserve">Long S., Zhou P., </w:t>
      </w:r>
      <w:proofErr w:type="spellStart"/>
      <w:r>
        <w:rPr>
          <w:rFonts w:eastAsia="Times New Roman"/>
          <w:i/>
          <w:iCs/>
          <w:lang w:val="en-US"/>
        </w:rPr>
        <w:t>Parkin</w:t>
      </w:r>
      <w:proofErr w:type="spellEnd"/>
      <w:r>
        <w:rPr>
          <w:rFonts w:eastAsia="Times New Roman"/>
          <w:i/>
          <w:iCs/>
          <w:lang w:val="en-US"/>
        </w:rPr>
        <w:t xml:space="preserve"> S. </w:t>
      </w:r>
      <w:proofErr w:type="gramStart"/>
      <w:r>
        <w:rPr>
          <w:rFonts w:eastAsia="Times New Roman"/>
          <w:i/>
          <w:iCs/>
          <w:lang w:val="en-US"/>
        </w:rPr>
        <w:t>et</w:t>
      </w:r>
      <w:proofErr w:type="gramEnd"/>
      <w:r>
        <w:rPr>
          <w:rFonts w:eastAsia="Times New Roman"/>
          <w:i/>
          <w:iCs/>
          <w:lang w:val="en-US"/>
        </w:rPr>
        <w:t xml:space="preserve">. al. </w:t>
      </w:r>
      <w:r>
        <w:rPr>
          <w:rFonts w:eastAsia="Times New Roman"/>
          <w:lang w:val="en-US"/>
        </w:rPr>
        <w:t xml:space="preserve">// </w:t>
      </w:r>
      <w:proofErr w:type="spellStart"/>
      <w:r>
        <w:rPr>
          <w:rFonts w:eastAsia="Times New Roman"/>
          <w:lang w:val="en-US"/>
        </w:rPr>
        <w:t>CrystEngComm</w:t>
      </w:r>
      <w:proofErr w:type="spellEnd"/>
      <w:r>
        <w:rPr>
          <w:rFonts w:eastAsia="Times New Roman"/>
          <w:lang w:val="en-US"/>
        </w:rPr>
        <w:t xml:space="preserve">. </w:t>
      </w:r>
      <w:r>
        <w:rPr>
          <w:rFonts w:eastAsia="Times New Roman"/>
        </w:rPr>
        <w:t xml:space="preserve">2015. </w:t>
      </w:r>
      <w:r>
        <w:rPr>
          <w:rFonts w:eastAsia="Times New Roman"/>
          <w:lang w:val="en-US"/>
        </w:rPr>
        <w:t>V</w:t>
      </w:r>
      <w:r>
        <w:rPr>
          <w:rFonts w:eastAsia="Times New Roman"/>
        </w:rPr>
        <w:t xml:space="preserve">. 17. </w:t>
      </w:r>
      <w:r>
        <w:rPr>
          <w:rFonts w:eastAsia="Times New Roman"/>
          <w:lang w:val="en-US"/>
        </w:rPr>
        <w:t>P</w:t>
      </w:r>
      <w:r>
        <w:rPr>
          <w:rFonts w:eastAsia="Times New Roman"/>
        </w:rPr>
        <w:t>. 2389-2397</w:t>
      </w:r>
    </w:p>
    <w:p w:rsidR="00CB1CE9" w:rsidRDefault="00364F7E">
      <w:pPr>
        <w:pStyle w:val="aff4"/>
        <w:numPr>
          <w:ilvl w:val="0"/>
          <w:numId w:val="1"/>
        </w:numPr>
      </w:pPr>
      <w:r>
        <w:rPr>
          <w:rFonts w:eastAsia="Times New Roman"/>
          <w:i/>
          <w:iCs/>
        </w:rPr>
        <w:t>Сомов Н.</w:t>
      </w:r>
      <w:r>
        <w:rPr>
          <w:i/>
        </w:rPr>
        <w:t>В., Чупрунов Е.В.</w:t>
      </w:r>
      <w:r>
        <w:t xml:space="preserve"> // Кристаллография. 2014, Т. 59, № 1, с 151–153</w:t>
      </w:r>
    </w:p>
    <w:sectPr w:rsidR="00CB1CE9">
      <w:pgSz w:w="11906" w:h="16838"/>
      <w:pgMar w:top="1134" w:right="1361" w:bottom="1259" w:left="136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C2C30"/>
    <w:multiLevelType w:val="multilevel"/>
    <w:tmpl w:val="E2FC92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83B7D5D"/>
    <w:multiLevelType w:val="multilevel"/>
    <w:tmpl w:val="3DC41B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E9"/>
    <w:rsid w:val="000506FE"/>
    <w:rsid w:val="002C1639"/>
    <w:rsid w:val="00364F7E"/>
    <w:rsid w:val="00383D3F"/>
    <w:rsid w:val="005B5E4A"/>
    <w:rsid w:val="00726AB5"/>
    <w:rsid w:val="009C65B2"/>
    <w:rsid w:val="00C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F4"/>
    <w:pPr>
      <w:suppressAutoHyphens w:val="0"/>
      <w:spacing w:after="14"/>
      <w:ind w:right="397" w:firstLine="708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"/>
    <w:unhideWhenUsed/>
    <w:qFormat/>
    <w:pPr>
      <w:jc w:val="left"/>
      <w:outlineLvl w:val="1"/>
    </w:pPr>
  </w:style>
  <w:style w:type="paragraph" w:styleId="3">
    <w:name w:val="heading 3"/>
    <w:basedOn w:val="2"/>
    <w:next w:val="a"/>
    <w:link w:val="30"/>
    <w:uiPriority w:val="9"/>
    <w:unhideWhenUsed/>
    <w:qFormat/>
    <w:pPr>
      <w:outlineLvl w:val="2"/>
    </w:pPr>
    <w:rPr>
      <w:b w:val="0"/>
      <w:i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hAnsi="Times New Roman" w:cs="Times New Roman"/>
      <w:i/>
      <w:sz w:val="24"/>
      <w:szCs w:val="24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hAnsi="Tahoma" w:cs="Tahoma"/>
      <w:sz w:val="16"/>
      <w:szCs w:val="16"/>
    </w:rPr>
  </w:style>
  <w:style w:type="character" w:styleId="af8">
    <w:name w:val="line number"/>
    <w:qFormat/>
  </w:style>
  <w:style w:type="character" w:customStyle="1" w:styleId="af9">
    <w:name w:val="Текст примечания Знак"/>
    <w:basedOn w:val="a0"/>
    <w:link w:val="afa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c">
    <w:name w:val="Placeholder Text"/>
    <w:basedOn w:val="a0"/>
    <w:uiPriority w:val="99"/>
    <w:semiHidden/>
    <w:qFormat/>
    <w:rPr>
      <w:color w:val="808080"/>
    </w:rPr>
  </w:style>
  <w:style w:type="character" w:customStyle="1" w:styleId="afd">
    <w:name w:val="Тема примечания Знак"/>
    <w:basedOn w:val="af9"/>
    <w:link w:val="afe"/>
    <w:uiPriority w:val="99"/>
    <w:semiHidden/>
    <w:qFormat/>
    <w:rsid w:val="003067F2"/>
    <w:rPr>
      <w:rFonts w:ascii="Times New Roman" w:hAnsi="Times New Roman" w:cs="Times New Roman"/>
      <w:b/>
      <w:bCs/>
      <w:sz w:val="20"/>
      <w:szCs w:val="20"/>
    </w:rPr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aff0">
    <w:name w:val="Body Text"/>
    <w:basedOn w:val="a"/>
    <w:pPr>
      <w:spacing w:after="140"/>
    </w:pPr>
  </w:style>
  <w:style w:type="paragraph" w:styleId="aff1">
    <w:name w:val="List"/>
    <w:basedOn w:val="aff0"/>
    <w:rPr>
      <w:rFonts w:cs="Lucida Sans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f3">
    <w:name w:val="index heading"/>
    <w:basedOn w:val="aff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heading1">
    <w:name w:val="index heading1"/>
    <w:basedOn w:val="aff"/>
    <w:qFormat/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aff5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6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/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pPr>
      <w:spacing w:after="0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f7">
    <w:name w:val="TOC Heading"/>
    <w:uiPriority w:val="39"/>
    <w:unhideWhenUsed/>
    <w:qFormat/>
  </w:style>
  <w:style w:type="paragraph" w:styleId="aff8">
    <w:name w:val="table of figures"/>
    <w:basedOn w:val="a"/>
    <w:next w:val="a"/>
    <w:uiPriority w:val="99"/>
    <w:unhideWhenUsed/>
    <w:pPr>
      <w:spacing w:after="0"/>
    </w:p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heading11">
    <w:name w:val="index heading11"/>
    <w:basedOn w:val="a"/>
    <w:qFormat/>
    <w:pPr>
      <w:suppressLineNumbers/>
    </w:pPr>
    <w:rPr>
      <w:rFonts w:cs="Lucida Sans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a">
    <w:name w:val="annotation text"/>
    <w:basedOn w:val="a"/>
    <w:link w:val="af9"/>
    <w:uiPriority w:val="99"/>
    <w:semiHidden/>
    <w:unhideWhenUsed/>
    <w:qFormat/>
    <w:rPr>
      <w:sz w:val="20"/>
      <w:szCs w:val="20"/>
    </w:rPr>
  </w:style>
  <w:style w:type="paragraph" w:styleId="afe">
    <w:name w:val="annotation subject"/>
    <w:basedOn w:val="afa"/>
    <w:next w:val="afa"/>
    <w:link w:val="afd"/>
    <w:uiPriority w:val="99"/>
    <w:semiHidden/>
    <w:unhideWhenUsed/>
    <w:qFormat/>
    <w:rsid w:val="003067F2"/>
    <w:rPr>
      <w:b/>
      <w:bCs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F4"/>
    <w:pPr>
      <w:suppressAutoHyphens w:val="0"/>
      <w:spacing w:after="14"/>
      <w:ind w:right="397" w:firstLine="708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"/>
    <w:unhideWhenUsed/>
    <w:qFormat/>
    <w:pPr>
      <w:jc w:val="left"/>
      <w:outlineLvl w:val="1"/>
    </w:pPr>
  </w:style>
  <w:style w:type="paragraph" w:styleId="3">
    <w:name w:val="heading 3"/>
    <w:basedOn w:val="2"/>
    <w:next w:val="a"/>
    <w:link w:val="30"/>
    <w:uiPriority w:val="9"/>
    <w:unhideWhenUsed/>
    <w:qFormat/>
    <w:pPr>
      <w:outlineLvl w:val="2"/>
    </w:pPr>
    <w:rPr>
      <w:b w:val="0"/>
      <w:i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hAnsi="Times New Roman" w:cs="Times New Roman"/>
      <w:i/>
      <w:sz w:val="24"/>
      <w:szCs w:val="24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hAnsi="Tahoma" w:cs="Tahoma"/>
      <w:sz w:val="16"/>
      <w:szCs w:val="16"/>
    </w:rPr>
  </w:style>
  <w:style w:type="character" w:styleId="af8">
    <w:name w:val="line number"/>
    <w:qFormat/>
  </w:style>
  <w:style w:type="character" w:customStyle="1" w:styleId="af9">
    <w:name w:val="Текст примечания Знак"/>
    <w:basedOn w:val="a0"/>
    <w:link w:val="afa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c">
    <w:name w:val="Placeholder Text"/>
    <w:basedOn w:val="a0"/>
    <w:uiPriority w:val="99"/>
    <w:semiHidden/>
    <w:qFormat/>
    <w:rPr>
      <w:color w:val="808080"/>
    </w:rPr>
  </w:style>
  <w:style w:type="character" w:customStyle="1" w:styleId="afd">
    <w:name w:val="Тема примечания Знак"/>
    <w:basedOn w:val="af9"/>
    <w:link w:val="afe"/>
    <w:uiPriority w:val="99"/>
    <w:semiHidden/>
    <w:qFormat/>
    <w:rsid w:val="003067F2"/>
    <w:rPr>
      <w:rFonts w:ascii="Times New Roman" w:hAnsi="Times New Roman" w:cs="Times New Roman"/>
      <w:b/>
      <w:bCs/>
      <w:sz w:val="20"/>
      <w:szCs w:val="20"/>
    </w:rPr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aff0">
    <w:name w:val="Body Text"/>
    <w:basedOn w:val="a"/>
    <w:pPr>
      <w:spacing w:after="140"/>
    </w:pPr>
  </w:style>
  <w:style w:type="paragraph" w:styleId="aff1">
    <w:name w:val="List"/>
    <w:basedOn w:val="aff0"/>
    <w:rPr>
      <w:rFonts w:cs="Lucida Sans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f3">
    <w:name w:val="index heading"/>
    <w:basedOn w:val="aff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heading1">
    <w:name w:val="index heading1"/>
    <w:basedOn w:val="aff"/>
    <w:qFormat/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aff5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6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/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pPr>
      <w:spacing w:after="0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f7">
    <w:name w:val="TOC Heading"/>
    <w:uiPriority w:val="39"/>
    <w:unhideWhenUsed/>
    <w:qFormat/>
  </w:style>
  <w:style w:type="paragraph" w:styleId="aff8">
    <w:name w:val="table of figures"/>
    <w:basedOn w:val="a"/>
    <w:next w:val="a"/>
    <w:uiPriority w:val="99"/>
    <w:unhideWhenUsed/>
    <w:pPr>
      <w:spacing w:after="0"/>
    </w:p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heading11">
    <w:name w:val="index heading11"/>
    <w:basedOn w:val="a"/>
    <w:qFormat/>
    <w:pPr>
      <w:suppressLineNumbers/>
    </w:pPr>
    <w:rPr>
      <w:rFonts w:cs="Lucida Sans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a">
    <w:name w:val="annotation text"/>
    <w:basedOn w:val="a"/>
    <w:link w:val="af9"/>
    <w:uiPriority w:val="99"/>
    <w:semiHidden/>
    <w:unhideWhenUsed/>
    <w:qFormat/>
    <w:rPr>
      <w:sz w:val="20"/>
      <w:szCs w:val="20"/>
    </w:rPr>
  </w:style>
  <w:style w:type="paragraph" w:styleId="afe">
    <w:name w:val="annotation subject"/>
    <w:basedOn w:val="afa"/>
    <w:next w:val="afa"/>
    <w:link w:val="afd"/>
    <w:uiPriority w:val="99"/>
    <w:semiHidden/>
    <w:unhideWhenUsed/>
    <w:qFormat/>
    <w:rsid w:val="003067F2"/>
    <w:rPr>
      <w:b/>
      <w:bCs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ddrozhilki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2DFAC-3687-4190-BC31-5E7B2E8D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UNN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D. Drozhilkin</dc:creator>
  <cp:lastModifiedBy>Pavel D. Drozhilkin</cp:lastModifiedBy>
  <cp:revision>3</cp:revision>
  <dcterms:created xsi:type="dcterms:W3CDTF">2024-02-12T13:06:00Z</dcterms:created>
  <dcterms:modified xsi:type="dcterms:W3CDTF">2024-02-12T13:07:00Z</dcterms:modified>
  <dc:language>ru-RU</dc:language>
</cp:coreProperties>
</file>