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0"/>
        <w:jc w:val="center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Расчет поверхностной энергии связи в сплавах Ni и Pd различных концентраций с помощью теории функционала плотности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26"/>
        <w:jc w:val="center"/>
        <w:rPr>
          <w:color w:val="000000"/>
          <w:sz w:val="24"/>
          <w:szCs w:val="24"/>
          <w:vertAlign w:val="superscript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Москаленко</w:t>
      </w:r>
      <w:r w:rsidDel="00000000" w:rsidR="00000000" w:rsidRPr="00000000">
        <w:rPr>
          <w:b w:val="1"/>
          <w:i w:val="1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С</w:t>
      </w:r>
      <w:r w:rsidDel="00000000" w:rsidR="00000000" w:rsidRPr="00000000">
        <w:rPr>
          <w:b w:val="1"/>
          <w:i w:val="1"/>
          <w:color w:val="000000"/>
          <w:sz w:val="24"/>
          <w:szCs w:val="24"/>
          <w:highlight w:val="white"/>
          <w:rtl w:val="0"/>
        </w:rPr>
        <w:t xml:space="preserve">.С.</w:t>
      </w:r>
      <w:r w:rsidDel="00000000" w:rsidR="00000000" w:rsidRPr="00000000">
        <w:rPr>
          <w:b w:val="1"/>
          <w:color w:val="000000"/>
          <w:sz w:val="24"/>
          <w:szCs w:val="24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b w:val="1"/>
          <w:i w:val="1"/>
          <w:color w:val="000000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Мелкозерова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Ю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.А.</w:t>
      </w:r>
      <w:r w:rsidDel="00000000" w:rsidR="00000000" w:rsidRPr="00000000">
        <w:rPr>
          <w:b w:val="1"/>
          <w:color w:val="000000"/>
          <w:sz w:val="24"/>
          <w:szCs w:val="24"/>
          <w:highlight w:val="white"/>
          <w:vertAlign w:val="superscript"/>
          <w:rtl w:val="0"/>
        </w:rPr>
        <w:t xml:space="preserve"> 2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, Гайнуллин И.К.</w:t>
      </w:r>
      <w:r w:rsidDel="00000000" w:rsidR="00000000" w:rsidRPr="00000000">
        <w:rPr>
          <w:b w:val="1"/>
          <w:sz w:val="24"/>
          <w:szCs w:val="24"/>
          <w:highlight w:val="whit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26"/>
        <w:jc w:val="center"/>
        <w:rPr>
          <w:i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аспирант</w:t>
      </w:r>
      <w:r w:rsidDel="00000000" w:rsidR="00000000" w:rsidRPr="00000000">
        <w:rPr>
          <w:i w:val="1"/>
          <w:color w:val="000000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color w:val="000000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i w:val="1"/>
          <w:color w:val="000000"/>
          <w:sz w:val="24"/>
          <w:szCs w:val="24"/>
          <w:highlight w:val="white"/>
          <w:rtl w:val="0"/>
        </w:rPr>
        <w:t xml:space="preserve">аспирант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highlight w:val="white"/>
          <w:vertAlign w:val="superscript"/>
          <w:rtl w:val="0"/>
        </w:rPr>
        <w:t xml:space="preserve">3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к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.ф.-м.н., доцент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firstLine="426"/>
        <w:jc w:val="center"/>
        <w:rPr>
          <w:i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i w:val="1"/>
          <w:color w:val="000000"/>
          <w:sz w:val="24"/>
          <w:szCs w:val="24"/>
          <w:highlight w:val="white"/>
          <w:rtl w:val="0"/>
        </w:rPr>
        <w:t xml:space="preserve">Московский государственный университет имени М.В.Ломоносова, </w:t>
        <w:br w:type="textWrapping"/>
        <w:t xml:space="preserve">физический факультет, Москва, Россия</w:t>
        <w:br w:type="textWrapping"/>
        <w:t xml:space="preserve">E–mail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ivan.gainullin@physics.msu.ru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397"/>
        <w:jc w:val="both"/>
        <w:rPr>
          <w:sz w:val="24"/>
          <w:szCs w:val="24"/>
        </w:rPr>
      </w:pPr>
      <w:bookmarkStart w:colFirst="0" w:colLast="0" w:name="_9szzhjhi4ptm" w:id="0"/>
      <w:bookmarkEnd w:id="0"/>
      <w:r w:rsidDel="00000000" w:rsidR="00000000" w:rsidRPr="00000000">
        <w:rPr>
          <w:sz w:val="24"/>
          <w:szCs w:val="24"/>
          <w:rtl w:val="0"/>
        </w:rPr>
        <w:t xml:space="preserve">Энергия поверхностной связи является важным параметром для физики твердого тела. Она определяет энергию, необходимую для передачи атому поверхности для его удаления с выше упомянутой поверхности. Поэтому для таких задач как распыление и рассеяние важно знать ее значение. Нахождению энергии поверхностной связи посвящено немало теоретических работ [1-3], в том числе в которых используется расчетный пакет VASP, основанный на теории функционала плотности.</w:t>
      </w:r>
    </w:p>
    <w:p w:rsidR="00000000" w:rsidDel="00000000" w:rsidP="00000000" w:rsidRDefault="00000000" w:rsidRPr="00000000" w14:paraId="00000006">
      <w:pPr>
        <w:ind w:firstLine="397"/>
        <w:jc w:val="both"/>
        <w:rPr>
          <w:sz w:val="24"/>
          <w:szCs w:val="24"/>
        </w:rPr>
      </w:pPr>
      <w:bookmarkStart w:colFirst="0" w:colLast="0" w:name="_wyg5q89owmum" w:id="1"/>
      <w:bookmarkEnd w:id="1"/>
      <w:r w:rsidDel="00000000" w:rsidR="00000000" w:rsidRPr="00000000">
        <w:rPr>
          <w:sz w:val="24"/>
          <w:szCs w:val="24"/>
          <w:rtl w:val="0"/>
        </w:rPr>
        <w:t xml:space="preserve">Особое внимание для физической электроники привлекают сплавы никеля и палладия. Сплавы Ni-Pd более эффективны, чем чистые металлы, во многих применениях, например в электрохимии, микроэлектронике, катализе. Они интенсивно изучаются экспериментально и теоретически. И хотя такой материал как сплав NiPd давно используется и изучается в самых разных областях физики, значение энергии связи для разных концентраций Ni и Pd в сплаве до сих пор неизвестно.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397"/>
        <w:jc w:val="both"/>
        <w:rPr>
          <w:sz w:val="24"/>
          <w:szCs w:val="24"/>
        </w:rPr>
      </w:pPr>
      <w:bookmarkStart w:colFirst="0" w:colLast="0" w:name="_gjdgxs" w:id="2"/>
      <w:bookmarkEnd w:id="2"/>
      <w:r w:rsidDel="00000000" w:rsidR="00000000" w:rsidRPr="00000000">
        <w:rPr>
          <w:sz w:val="24"/>
          <w:szCs w:val="24"/>
          <w:rtl w:val="0"/>
        </w:rPr>
        <w:t xml:space="preserve">В работе с помощью теории функционала плотности были рассчитаны энергии поверхностной связи для чистых металлов Ni и Pd, а также их сплавов различных концентраций. Для чистых металлов были получены значения равные 5,32 эВ и 4,65 эВ соответственно, что является хорошей точностью для первопринципных расчетов.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397"/>
        <w:jc w:val="both"/>
        <w:rPr>
          <w:sz w:val="24"/>
          <w:szCs w:val="24"/>
        </w:rPr>
      </w:pPr>
      <w:bookmarkStart w:colFirst="0" w:colLast="0" w:name="_w8w9emalnp1q" w:id="3"/>
      <w:bookmarkEnd w:id="3"/>
      <w:r w:rsidDel="00000000" w:rsidR="00000000" w:rsidRPr="00000000">
        <w:rPr>
          <w:sz w:val="24"/>
          <w:szCs w:val="24"/>
          <w:rtl w:val="0"/>
        </w:rPr>
        <w:t xml:space="preserve">В работе также были произведены расчеты энергии поверхностной связи для разных конфигураций сплавов NiPd с концентрацией никеля и палладия 66%, 50%, 33%, 1,85%. Для каждого типа решеток были произведены расчеты как для энергии поверхностной связи Ni, так и для Pd. Моделировалось несколько видов решеток. При расчете энергии поверхностной связи Ni в кристаллической решетке Pd и энергии связи Pd в кристаллической решетке Ni значения энергии связи оказались практически одинаковыми с значениями энергии связи для чистых металлов.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397"/>
        <w:jc w:val="both"/>
        <w:rPr>
          <w:color w:val="000000"/>
          <w:sz w:val="24"/>
          <w:szCs w:val="24"/>
        </w:rPr>
      </w:pPr>
      <w:bookmarkStart w:colFirst="0" w:colLast="0" w:name="_nxt6o5z9b8lh" w:id="4"/>
      <w:bookmarkEnd w:id="4"/>
      <w:r w:rsidDel="00000000" w:rsidR="00000000" w:rsidRPr="00000000">
        <w:rPr>
          <w:sz w:val="24"/>
          <w:szCs w:val="24"/>
          <w:rtl w:val="0"/>
        </w:rPr>
        <w:t xml:space="preserve">Также была рассчитана относительная энергия образования поверхности. Значения относительных энергий образования поверхности лежат между значений энергий для чистых металлов, что хорошо согласуется с представлениями о физике поверхности.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26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highlight w:val="white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928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Gyoeroek M. et al. Surface binding energies of beryllium/tungsten alloys // Journal of Nuclear Materials. – 2016. – Т. 472. – С. 76-81.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928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 R. et al. Surface energies of elemental crystals //Scientific data. – 2016. – Т. 3. – №. 1. – С. 1-13.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928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Wang J., Wang S. Q. Surface energy and work function of fcc and bcc crystals: Density functional study // Surface science. – 2014. – Т. 630. – С. 216-224.</w:t>
      </w:r>
    </w:p>
    <w:sectPr>
      <w:footerReference r:id="rId6" w:type="default"/>
      <w:footerReference r:id="rId7" w:type="even"/>
      <w:pgSz w:h="16838" w:w="11906" w:orient="portrait"/>
      <w:pgMar w:bottom="1247" w:top="1133.8582677165355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360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360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28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