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9E" w:rsidRPr="00FF05B2" w:rsidRDefault="003C5C4E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Нелинейный магнитоэлектрический эффект в структурах «никель/широкозонный пьезополупроводник»</w:t>
      </w:r>
    </w:p>
    <w:p w:rsidR="00BC53DF" w:rsidRPr="00BC53DF" w:rsidRDefault="003C5C4E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Джапаридзе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М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3C5C4E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аспира</w:t>
      </w:r>
      <w:r w:rsidR="00BC53DF" w:rsidRPr="00BC53DF">
        <w:rPr>
          <w:rStyle w:val="a3"/>
          <w:color w:val="000000"/>
          <w:shd w:val="clear" w:color="auto" w:fill="FFFFFF"/>
        </w:rPr>
        <w:t>нт</w:t>
      </w:r>
    </w:p>
    <w:p w:rsidR="003C665C" w:rsidRDefault="003C5C4E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МИРЭА — Российский технологический университет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949BF">
        <w:rPr>
          <w:rStyle w:val="a3"/>
          <w:color w:val="000000"/>
          <w:shd w:val="clear" w:color="auto" w:fill="FFFFFF"/>
        </w:rPr>
        <w:t>НОЦ «Магнитоэлектрические материалы и устройства»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dzhaparidze</w:t>
      </w:r>
      <w:r w:rsidRPr="003C5C4E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</w:t>
      </w:r>
      <w:r w:rsidRPr="003C5C4E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v</w:t>
      </w:r>
      <w:r w:rsidR="003A7D50"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edu</w:t>
      </w:r>
      <w:r w:rsidRPr="003C5C4E">
        <w:rPr>
          <w:i/>
          <w:shd w:val="clear" w:color="auto" w:fill="FFFFFF"/>
        </w:rPr>
        <w:t>.</w:t>
      </w:r>
      <w:r>
        <w:rPr>
          <w:i/>
          <w:shd w:val="clear" w:color="auto" w:fill="FFFFFF"/>
          <w:lang w:val="en-US"/>
        </w:rPr>
        <w:t>mirea</w:t>
      </w:r>
      <w:r w:rsidR="003A7D50" w:rsidRPr="003A7D50">
        <w:rPr>
          <w:i/>
          <w:shd w:val="clear" w:color="auto" w:fill="FFFFFF"/>
        </w:rPr>
        <w:t>.ru</w:t>
      </w:r>
    </w:p>
    <w:p w:rsidR="00AB56D9" w:rsidRPr="00C74949" w:rsidRDefault="00F057E9" w:rsidP="00011E41">
      <w:pPr>
        <w:ind w:firstLine="397"/>
        <w:jc w:val="both"/>
      </w:pPr>
      <w:r w:rsidRPr="00F057E9">
        <w:t xml:space="preserve">Магнитоэлектрический (МЭ) эффект — </w:t>
      </w:r>
      <w:r w:rsidR="00CB6E41" w:rsidRPr="00014A6E">
        <w:t>изменение</w:t>
      </w:r>
      <w:r w:rsidRPr="00F057E9">
        <w:t xml:space="preserve"> </w:t>
      </w:r>
      <w:r w:rsidR="00CB6E41">
        <w:t>поляризации вещества</w:t>
      </w:r>
      <w:r w:rsidRPr="00F057E9">
        <w:t xml:space="preserve"> под действием магнитного поля [1]. </w:t>
      </w:r>
      <w:r>
        <w:t xml:space="preserve">Как правило, МЭ эффект исследуется в </w:t>
      </w:r>
      <w:r w:rsidR="00946D6D">
        <w:t>композитах</w:t>
      </w:r>
      <w:r>
        <w:t xml:space="preserve">, состоящих из магнитострикционного материала, </w:t>
      </w:r>
      <w:r w:rsidR="00AB56D9">
        <w:t>деформирующегося под действием магнитного поля, и пьезоэлектрика, преобразующего эту деформацию в электрическое напряжение</w:t>
      </w:r>
      <w:r w:rsidR="00AB56D9" w:rsidRPr="00AB56D9">
        <w:t xml:space="preserve"> [2]</w:t>
      </w:r>
      <w:r w:rsidR="00AB56D9">
        <w:t xml:space="preserve">. В последнее время в качестве </w:t>
      </w:r>
      <w:r w:rsidR="00213A18">
        <w:t>пьезоэ</w:t>
      </w:r>
      <w:r w:rsidR="00946D6D">
        <w:t>лектрика</w:t>
      </w:r>
      <w:r w:rsidR="00AB56D9">
        <w:t xml:space="preserve"> в МЭ </w:t>
      </w:r>
      <w:r w:rsidR="00946D6D">
        <w:t>струк</w:t>
      </w:r>
      <w:r w:rsidR="00213A18">
        <w:t>т</w:t>
      </w:r>
      <w:r w:rsidR="00946D6D">
        <w:t>ур</w:t>
      </w:r>
      <w:r w:rsidR="00AB56D9">
        <w:t>ах всё чаще используются широкозонные полупроводники</w:t>
      </w:r>
      <w:r w:rsidR="001A4A41">
        <w:t xml:space="preserve">: </w:t>
      </w:r>
      <w:r w:rsidR="001A4A41" w:rsidRPr="00CF08CB">
        <w:t>нитрид алюминия (</w:t>
      </w:r>
      <w:r w:rsidR="001A4A41" w:rsidRPr="00CF08CB">
        <w:rPr>
          <w:lang w:val="en-US"/>
        </w:rPr>
        <w:t>AlN</w:t>
      </w:r>
      <w:r w:rsidR="001A4A41" w:rsidRPr="00CF08CB">
        <w:t>), нитрид галлия (</w:t>
      </w:r>
      <w:r w:rsidR="001A4A41" w:rsidRPr="00CF08CB">
        <w:rPr>
          <w:lang w:val="en-US"/>
        </w:rPr>
        <w:t>GaN</w:t>
      </w:r>
      <w:r w:rsidR="001A4A41" w:rsidRPr="00CF08CB">
        <w:t>) и оксид галлия (</w:t>
      </w:r>
      <w:r w:rsidR="001A4A41" w:rsidRPr="00CF08CB">
        <w:rPr>
          <w:lang w:val="en-US"/>
        </w:rPr>
        <w:t>Ga</w:t>
      </w:r>
      <w:r w:rsidR="001A4A41" w:rsidRPr="00CF08CB">
        <w:rPr>
          <w:vertAlign w:val="subscript"/>
        </w:rPr>
        <w:t>2</w:t>
      </w:r>
      <w:r w:rsidR="001A4A41" w:rsidRPr="00CF08CB">
        <w:rPr>
          <w:lang w:val="en-US"/>
        </w:rPr>
        <w:t>O</w:t>
      </w:r>
      <w:r w:rsidR="001A4A41" w:rsidRPr="00CF08CB">
        <w:rPr>
          <w:vertAlign w:val="subscript"/>
        </w:rPr>
        <w:t>3</w:t>
      </w:r>
      <w:r w:rsidR="001A4A41" w:rsidRPr="00CF08CB">
        <w:t>)</w:t>
      </w:r>
      <w:r w:rsidR="00AB56D9" w:rsidRPr="00CF08CB">
        <w:t>.</w:t>
      </w:r>
      <w:r w:rsidR="00AB56D9">
        <w:t xml:space="preserve"> Преимуществами этих материал</w:t>
      </w:r>
      <w:r w:rsidR="00CF08CB">
        <w:t>ов</w:t>
      </w:r>
      <w:r w:rsidR="00AB56D9">
        <w:t xml:space="preserve"> являются большое отношение пьезомодуля к диэлектрической проницаемости </w:t>
      </w:r>
      <w:r w:rsidR="00AB56D9" w:rsidRPr="00AB56D9">
        <w:rPr>
          <w:i/>
          <w:lang w:val="en-US"/>
        </w:rPr>
        <w:t>d</w:t>
      </w:r>
      <w:r w:rsidR="00AB56D9" w:rsidRPr="00AB56D9">
        <w:rPr>
          <w:i/>
        </w:rPr>
        <w:t>/ε</w:t>
      </w:r>
      <w:r w:rsidR="00946D6D">
        <w:t xml:space="preserve"> и</w:t>
      </w:r>
      <w:r w:rsidR="00AB56D9">
        <w:t xml:space="preserve"> </w:t>
      </w:r>
      <w:r w:rsidR="00AB56D9" w:rsidRPr="00C74949">
        <w:t>совместимость с полупроводниковыми технологиями [</w:t>
      </w:r>
      <w:r w:rsidR="001A4A41" w:rsidRPr="00C74949">
        <w:t>3-</w:t>
      </w:r>
      <w:r w:rsidR="0096672C" w:rsidRPr="00C74949">
        <w:t>4</w:t>
      </w:r>
      <w:r w:rsidR="00AB56D9" w:rsidRPr="00C74949">
        <w:t>].</w:t>
      </w:r>
    </w:p>
    <w:p w:rsidR="00BF5F1A" w:rsidRPr="00C74949" w:rsidRDefault="00C05B26" w:rsidP="00011E41">
      <w:pPr>
        <w:ind w:firstLine="397"/>
        <w:jc w:val="both"/>
      </w:pPr>
      <w:r w:rsidRPr="00C74949">
        <w:t xml:space="preserve">Напряжение </w:t>
      </w:r>
      <w:r w:rsidRPr="00C74949">
        <w:rPr>
          <w:i/>
          <w:lang w:val="en-US"/>
        </w:rPr>
        <w:t>u</w:t>
      </w:r>
      <w:r w:rsidRPr="00C74949">
        <w:t xml:space="preserve">, возникающее под действием прямого МЭ эффекта, пропорционально пьезомодулю </w:t>
      </w:r>
      <w:r w:rsidRPr="00C74949">
        <w:rPr>
          <w:i/>
          <w:lang w:val="en-US"/>
        </w:rPr>
        <w:t>d</w:t>
      </w:r>
      <w:r w:rsidRPr="00C74949">
        <w:rPr>
          <w:vertAlign w:val="subscript"/>
        </w:rPr>
        <w:t>31</w:t>
      </w:r>
      <w:r w:rsidRPr="00C74949">
        <w:t xml:space="preserve"> пьезоэлектрика и </w:t>
      </w:r>
      <w:r w:rsidR="00CF1775" w:rsidRPr="00C74949">
        <w:t>магнитострикции</w:t>
      </w:r>
      <w:r w:rsidRPr="00C74949">
        <w:t xml:space="preserve"> </w:t>
      </w:r>
      <w:r w:rsidRPr="00C74949">
        <w:rPr>
          <w:i/>
          <w:lang w:val="en-US"/>
        </w:rPr>
        <w:t>λ</w:t>
      </w:r>
      <w:r w:rsidRPr="00C74949">
        <w:rPr>
          <w:i/>
        </w:rPr>
        <w:t>(</w:t>
      </w:r>
      <w:r w:rsidRPr="00445A9B">
        <w:rPr>
          <w:i/>
          <w:iCs/>
        </w:rPr>
        <w:t>Ȟ</w:t>
      </w:r>
      <w:r w:rsidRPr="00C74949">
        <w:rPr>
          <w:i/>
        </w:rPr>
        <w:t>)</w:t>
      </w:r>
      <w:r w:rsidRPr="00C74949">
        <w:t xml:space="preserve">: </w:t>
      </w:r>
    </w:p>
    <w:p w:rsidR="00C05B26" w:rsidRPr="00C74949" w:rsidRDefault="003262F3" w:rsidP="00DF2371">
      <w:pPr>
        <w:jc w:val="right"/>
        <w:rPr>
          <w:rFonts w:eastAsia="Times New Roman"/>
        </w:rPr>
      </w:pPr>
      <m:oMath>
        <m:r>
          <w:rPr>
            <w:rFonts w:ascii="Cambria Math" w:hAnsi="Cambria Math"/>
          </w:rPr>
          <m:t>u=A</m:t>
        </m:r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31</m:t>
            </m:r>
          </m:sub>
        </m:sSub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dPr>
          <m:e>
            <m:acc>
              <m:accPr>
                <m:chr m:val="̆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H</m:t>
                </m:r>
              </m:e>
            </m:acc>
          </m:e>
        </m:d>
      </m:oMath>
      <w:r w:rsidR="00DF2371" w:rsidRPr="002946A7">
        <w:t xml:space="preserve">                               </w:t>
      </w:r>
      <w:r w:rsidR="00774885" w:rsidRPr="00C74949">
        <w:t xml:space="preserve">                              (1)</w:t>
      </w:r>
    </w:p>
    <w:p w:rsidR="00921F8C" w:rsidRPr="00C74949" w:rsidRDefault="00C05B26" w:rsidP="00011E41">
      <w:pPr>
        <w:ind w:firstLine="397"/>
        <w:jc w:val="both"/>
      </w:pPr>
      <w:r w:rsidRPr="00C74949">
        <w:t xml:space="preserve">где </w:t>
      </w:r>
      <w:r w:rsidR="00DF2371" w:rsidRPr="00C74949">
        <w:rPr>
          <w:i/>
          <w:lang w:val="en-US"/>
        </w:rPr>
        <w:t>A</w:t>
      </w:r>
      <w:r w:rsidRPr="00C74949">
        <w:t xml:space="preserve"> — коэффициент пропорциональности.</w:t>
      </w:r>
    </w:p>
    <w:p w:rsidR="00C05B26" w:rsidRPr="00C74949" w:rsidRDefault="002A00D8" w:rsidP="00011E41">
      <w:pPr>
        <w:ind w:firstLine="397"/>
        <w:jc w:val="both"/>
      </w:pPr>
      <w:r>
        <w:t xml:space="preserve">Для наблюдения МЭ эффекта </w:t>
      </w:r>
      <w:r w:rsidR="00C66EBE">
        <w:t>структуру</w:t>
      </w:r>
      <w:r>
        <w:t xml:space="preserve">, как правило, помещают в постоянное подмагничивающее поле </w:t>
      </w:r>
      <w:r>
        <w:rPr>
          <w:i/>
          <w:iCs/>
          <w:lang w:val="en-US"/>
        </w:rPr>
        <w:t>H</w:t>
      </w:r>
      <w:r w:rsidR="00C05B26" w:rsidRPr="00C74949">
        <w:t xml:space="preserve"> </w:t>
      </w:r>
      <w:r>
        <w:t xml:space="preserve">и возбуждают </w:t>
      </w:r>
      <w:r w:rsidR="00774885" w:rsidRPr="00C74949">
        <w:t>гармоническ</w:t>
      </w:r>
      <w:r>
        <w:t>им</w:t>
      </w:r>
      <w:r w:rsidR="00774885" w:rsidRPr="00C74949">
        <w:t xml:space="preserve"> пол</w:t>
      </w:r>
      <w:r>
        <w:t>ем</w:t>
      </w:r>
      <w:r w:rsidR="00774885" w:rsidRPr="00C74949">
        <w:t xml:space="preserve"> с амплитудой </w:t>
      </w:r>
      <w:r w:rsidR="00774885" w:rsidRPr="00C74949">
        <w:rPr>
          <w:i/>
          <w:lang w:val="en-US"/>
        </w:rPr>
        <w:t>h</w:t>
      </w:r>
      <w:r w:rsidR="00774885" w:rsidRPr="00C74949">
        <w:rPr>
          <w:i/>
        </w:rPr>
        <w:t xml:space="preserve"> </w:t>
      </w:r>
      <w:r w:rsidR="00774885" w:rsidRPr="00C74949">
        <w:t xml:space="preserve">и частотой </w:t>
      </w:r>
      <w:r w:rsidR="00774885" w:rsidRPr="00C74949">
        <w:rPr>
          <w:i/>
          <w:lang w:val="en-US"/>
        </w:rPr>
        <w:t>f</w:t>
      </w:r>
      <w:r w:rsidR="00774885" w:rsidRPr="00C74949">
        <w:t>.</w:t>
      </w:r>
      <w:r>
        <w:t xml:space="preserve"> Таким образом,</w:t>
      </w:r>
    </w:p>
    <w:p w:rsidR="00C05B26" w:rsidRPr="00C64D5B" w:rsidRDefault="003262F3" w:rsidP="00235E74">
      <w:pPr>
        <w:jc w:val="right"/>
      </w:pPr>
      <m:oMath>
        <m:acc>
          <m:accPr>
            <m:chr m:val="̆"/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</m:e>
        </m:acc>
        <m:r>
          <w:rPr>
            <w:rFonts w:ascii="Cambria Math" w:hAnsi="Cambria Math"/>
          </w:rPr>
          <m:t>=H+h∙</m:t>
        </m:r>
        <m:func>
          <m:func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lang w:eastAsia="en-US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2πft</m:t>
                </m:r>
              </m:e>
            </m:d>
          </m:e>
        </m:func>
      </m:oMath>
      <w:r w:rsidR="00235E74" w:rsidRPr="00C64D5B">
        <w:t xml:space="preserve">                                                        (2)</w:t>
      </w:r>
    </w:p>
    <w:p w:rsidR="00C05B26" w:rsidRPr="002946A7" w:rsidRDefault="00774885" w:rsidP="00011E41">
      <w:pPr>
        <w:ind w:firstLine="397"/>
        <w:jc w:val="both"/>
      </w:pPr>
      <w:r w:rsidRPr="002946A7">
        <w:t xml:space="preserve">В этом случае выражение для магнитострикции </w:t>
      </w:r>
      <w:r w:rsidRPr="002946A7">
        <w:rPr>
          <w:i/>
          <w:lang w:val="en-US"/>
        </w:rPr>
        <w:t>λ</w:t>
      </w:r>
      <w:r w:rsidRPr="002946A7">
        <w:rPr>
          <w:i/>
        </w:rPr>
        <w:t>(Ȟ)</w:t>
      </w:r>
      <w:r w:rsidRPr="002946A7">
        <w:t xml:space="preserve"> можно разложить в ряд Тейлора в окрестности точки </w:t>
      </w:r>
      <w:r w:rsidRPr="002946A7">
        <w:rPr>
          <w:i/>
          <w:lang w:val="en-US"/>
        </w:rPr>
        <w:t>H</w:t>
      </w:r>
      <w:r w:rsidRPr="002946A7">
        <w:t>. Подстав</w:t>
      </w:r>
      <w:r w:rsidR="00DF2371" w:rsidRPr="002946A7">
        <w:t>ив</w:t>
      </w:r>
      <w:r w:rsidRPr="002946A7">
        <w:t xml:space="preserve"> полученное выражение</w:t>
      </w:r>
      <w:r w:rsidR="00DF2371" w:rsidRPr="002946A7">
        <w:t xml:space="preserve"> в (1) и выполнив ряд тригонометрических преобразований, можно получить</w:t>
      </w:r>
    </w:p>
    <w:p w:rsidR="00921F8C" w:rsidRPr="002946A7" w:rsidRDefault="003262F3" w:rsidP="002560ED">
      <w:pPr>
        <w:ind w:firstLine="283"/>
        <w:jc w:val="right"/>
        <w:rPr>
          <w:i/>
          <w:szCs w:val="28"/>
        </w:rPr>
      </w:pPr>
      <m:oMath>
        <m:r>
          <w:rPr>
            <w:rFonts w:ascii="Cambria Math" w:hAnsi="Cambria Math"/>
            <w:szCs w:val="28"/>
          </w:rPr>
          <m:t>u</m:t>
        </m:r>
        <m:d>
          <m:d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dPr>
          <m:e>
            <m:r>
              <w:rPr>
                <w:rFonts w:ascii="Cambria Math" w:hAnsi="Cambria Math"/>
                <w:szCs w:val="28"/>
              </w:rPr>
              <m:t>t</m:t>
            </m:r>
          </m:e>
        </m:d>
        <m:r>
          <w:rPr>
            <w:rFonts w:ascii="Cambria Math" w:hAnsi="Cambria Math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Calibri"/>
                    <w:i/>
                    <w:color w:val="000000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k</m:t>
                </m:r>
              </m:sub>
            </m:sSub>
            <m:func>
              <m:funcPr>
                <m:ctrlPr>
                  <w:rPr>
                    <w:rFonts w:ascii="Cambria Math" w:hAnsi="Cambria Math" w:cs="Calibri"/>
                    <w:i/>
                    <w:color w:val="000000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  <w:color w:val="000000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8"/>
                      </w:rPr>
                      <m:t>2πk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</m:d>
              </m:e>
            </m:func>
          </m:e>
        </m:nary>
        <m:r>
          <w:rPr>
            <w:rFonts w:ascii="Cambria Math" w:hAnsi="Cambria Math"/>
            <w:szCs w:val="28"/>
          </w:rPr>
          <m:t xml:space="preserve">= </m:t>
        </m:r>
        <m:sSub>
          <m:sSub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func>
          <m:func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color w:val="000000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2πft</m:t>
                </m:r>
              </m:e>
            </m:d>
          </m:e>
        </m:func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func>
          <m:funcPr>
            <m:ctrlPr>
              <w:rPr>
                <w:rFonts w:ascii="Cambria Math" w:hAnsi="Cambria Math" w:cs="Calibri"/>
                <w:i/>
                <w:color w:val="000000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color w:val="000000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4πft</m:t>
                </m:r>
              </m:e>
            </m:d>
          </m:e>
        </m:func>
        <m:r>
          <w:rPr>
            <w:rFonts w:ascii="Cambria Math" w:hAnsi="Cambria Math"/>
            <w:szCs w:val="28"/>
          </w:rPr>
          <m:t>+…</m:t>
        </m:r>
      </m:oMath>
      <w:r w:rsidR="002560ED" w:rsidRPr="002946A7">
        <w:t xml:space="preserve">               (</w:t>
      </w:r>
      <w:r w:rsidR="00235E74" w:rsidRPr="002946A7">
        <w:t>3</w:t>
      </w:r>
      <w:r w:rsidR="002560ED" w:rsidRPr="002946A7">
        <w:t>)</w:t>
      </w:r>
    </w:p>
    <w:p w:rsidR="00BF5F1A" w:rsidRPr="002946A7" w:rsidRDefault="00DF2371" w:rsidP="00DF2371">
      <w:pPr>
        <w:ind w:firstLine="283"/>
        <w:jc w:val="both"/>
      </w:pPr>
      <w:r w:rsidRPr="002946A7">
        <w:rPr>
          <w:szCs w:val="28"/>
        </w:rPr>
        <w:t xml:space="preserve">где </w:t>
      </w:r>
      <w:r w:rsidRPr="002946A7">
        <w:rPr>
          <w:i/>
          <w:szCs w:val="28"/>
          <w:lang w:val="en-US"/>
        </w:rPr>
        <w:t>u</w:t>
      </w:r>
      <w:r w:rsidRPr="002946A7">
        <w:rPr>
          <w:i/>
          <w:szCs w:val="28"/>
          <w:vertAlign w:val="subscript"/>
          <w:lang w:val="en-US"/>
        </w:rPr>
        <w:t>k</w:t>
      </w:r>
      <w:r w:rsidRPr="002946A7">
        <w:rPr>
          <w:szCs w:val="28"/>
        </w:rPr>
        <w:t xml:space="preserve"> — амплитуды </w:t>
      </w:r>
      <w:r w:rsidRPr="00C56CAA">
        <w:rPr>
          <w:i/>
          <w:szCs w:val="28"/>
          <w:lang w:val="en-US"/>
        </w:rPr>
        <w:t>k</w:t>
      </w:r>
      <w:r w:rsidRPr="00C56CAA">
        <w:rPr>
          <w:i/>
          <w:szCs w:val="28"/>
        </w:rPr>
        <w:softHyphen/>
      </w:r>
      <w:r w:rsidRPr="00C56CAA">
        <w:rPr>
          <w:szCs w:val="28"/>
        </w:rPr>
        <w:t>-х</w:t>
      </w:r>
      <w:r w:rsidRPr="002946A7">
        <w:rPr>
          <w:szCs w:val="28"/>
        </w:rPr>
        <w:t xml:space="preserve"> гармоник</w:t>
      </w:r>
      <w:r w:rsidRPr="002946A7">
        <w:t xml:space="preserve"> МЭ напряжения, каждая из которых пропорциональная </w:t>
      </w:r>
      <w:r w:rsidRPr="002946A7">
        <w:rPr>
          <w:i/>
          <w:lang w:val="en-US"/>
        </w:rPr>
        <w:t>k</w:t>
      </w:r>
      <w:r w:rsidRPr="002946A7">
        <w:t xml:space="preserve">-ой производной магнитострикции по полю и </w:t>
      </w:r>
      <w:r w:rsidRPr="002946A7">
        <w:rPr>
          <w:i/>
          <w:lang w:val="en-US"/>
        </w:rPr>
        <w:t>h</w:t>
      </w:r>
      <w:r w:rsidRPr="002946A7">
        <w:rPr>
          <w:i/>
          <w:vertAlign w:val="superscript"/>
          <w:lang w:val="en-US"/>
        </w:rPr>
        <w:t>k</w:t>
      </w:r>
      <w:r w:rsidRPr="002946A7">
        <w:t>.</w:t>
      </w:r>
    </w:p>
    <w:p w:rsidR="00852B6F" w:rsidRDefault="00DF2371" w:rsidP="00011E41">
      <w:pPr>
        <w:ind w:firstLine="397"/>
        <w:jc w:val="both"/>
      </w:pPr>
      <w:r w:rsidRPr="00AC5DB0">
        <w:t>Данная работа посвящена моделированию высших гармоник МЭ эффекта</w:t>
      </w:r>
      <w:r w:rsidR="00946D6D" w:rsidRPr="00AC5DB0">
        <w:t xml:space="preserve"> </w:t>
      </w:r>
      <w:r w:rsidR="00144DB5" w:rsidRPr="00AC5DB0">
        <w:t>метод</w:t>
      </w:r>
      <w:r w:rsidR="00D86B98" w:rsidRPr="00AC5DB0">
        <w:t>ом</w:t>
      </w:r>
      <w:r w:rsidR="00144DB5" w:rsidRPr="00AC5DB0">
        <w:t xml:space="preserve"> конечных элементов в программном пакете </w:t>
      </w:r>
      <w:r w:rsidR="00144DB5" w:rsidRPr="00AC5DB0">
        <w:rPr>
          <w:lang w:val="en-US"/>
        </w:rPr>
        <w:t>COMSOL</w:t>
      </w:r>
      <w:r w:rsidR="00144DB5" w:rsidRPr="00AC5DB0">
        <w:t xml:space="preserve"> </w:t>
      </w:r>
      <w:r w:rsidR="00144DB5" w:rsidRPr="00AC5DB0">
        <w:rPr>
          <w:lang w:val="en-US"/>
        </w:rPr>
        <w:t>Multiphysics</w:t>
      </w:r>
      <w:r w:rsidR="00144DB5" w:rsidRPr="00AC5DB0">
        <w:t>.</w:t>
      </w:r>
    </w:p>
    <w:tbl>
      <w:tblPr>
        <w:tblpPr w:leftFromText="180" w:rightFromText="180" w:vertAnchor="text" w:horzAnchor="margin" w:tblpY="43"/>
        <w:tblW w:w="9219" w:type="dxa"/>
        <w:tblLayout w:type="fixed"/>
        <w:tblLook w:val="04A0" w:firstRow="1" w:lastRow="0" w:firstColumn="1" w:lastColumn="0" w:noHBand="0" w:noVBand="1"/>
      </w:tblPr>
      <w:tblGrid>
        <w:gridCol w:w="9219"/>
      </w:tblGrid>
      <w:tr w:rsidR="00235E74" w:rsidTr="00235E74">
        <w:trPr>
          <w:trHeight w:val="363"/>
        </w:trPr>
        <w:tc>
          <w:tcPr>
            <w:tcW w:w="9219" w:type="dxa"/>
            <w:shd w:val="clear" w:color="auto" w:fill="auto"/>
            <w:vAlign w:val="center"/>
          </w:tcPr>
          <w:p w:rsidR="00235E74" w:rsidRDefault="003262F3" w:rsidP="00235E74">
            <w:pPr>
              <w:jc w:val="center"/>
              <w:rPr>
                <w:b/>
                <w:i/>
                <w:sz w:val="22"/>
                <w:szCs w:val="22"/>
              </w:rPr>
            </w:pPr>
            <w:r w:rsidRPr="007F372B">
              <w:rPr>
                <w:noProof/>
              </w:rPr>
              <w:drawing>
                <wp:inline distT="0" distB="0" distL="0" distR="0">
                  <wp:extent cx="2286000" cy="143002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74" w:rsidTr="00235E74">
        <w:trPr>
          <w:trHeight w:val="363"/>
        </w:trPr>
        <w:tc>
          <w:tcPr>
            <w:tcW w:w="9219" w:type="dxa"/>
            <w:shd w:val="clear" w:color="auto" w:fill="auto"/>
            <w:vAlign w:val="center"/>
          </w:tcPr>
          <w:p w:rsidR="00235E74" w:rsidRDefault="00235E74" w:rsidP="002A00D8">
            <w:pPr>
              <w:spacing w:after="240"/>
              <w:ind w:firstLine="426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Рис. 1.</w:t>
            </w:r>
            <w:r>
              <w:rPr>
                <w:sz w:val="22"/>
                <w:szCs w:val="22"/>
              </w:rPr>
              <w:t xml:space="preserve"> </w:t>
            </w:r>
            <w:r w:rsidRPr="00894C3C">
              <w:rPr>
                <w:sz w:val="22"/>
                <w:szCs w:val="22"/>
              </w:rPr>
              <w:t>Схематическое изображение исследуемого образца</w:t>
            </w:r>
          </w:p>
        </w:tc>
      </w:tr>
    </w:tbl>
    <w:p w:rsidR="00235E74" w:rsidRDefault="00235E74" w:rsidP="00235E74">
      <w:pPr>
        <w:ind w:firstLine="397"/>
        <w:jc w:val="both"/>
      </w:pPr>
      <w:r>
        <w:t>Схематическое изображение моделируемо</w:t>
      </w:r>
      <w:r w:rsidR="00A70BD8">
        <w:t>го</w:t>
      </w:r>
      <w:r>
        <w:t xml:space="preserve"> </w:t>
      </w:r>
      <w:r w:rsidR="00A70BD8">
        <w:t>композита</w:t>
      </w:r>
      <w:r>
        <w:t xml:space="preserve"> приведено на </w:t>
      </w:r>
      <w:r w:rsidRPr="00E116D2">
        <w:t>рис. 1</w:t>
      </w:r>
      <w:r>
        <w:t>.</w:t>
      </w:r>
      <w:r>
        <w:rPr>
          <w:rStyle w:val="af0"/>
        </w:rPr>
        <w:t xml:space="preserve"> В</w:t>
      </w:r>
      <w:r>
        <w:t xml:space="preserve"> качестве пьезополупроводник</w:t>
      </w:r>
      <w:r w:rsidR="00A70BD8">
        <w:t>а</w:t>
      </w:r>
      <w:r>
        <w:t xml:space="preserve"> использовались </w:t>
      </w:r>
      <w:r>
        <w:rPr>
          <w:lang w:val="en-US"/>
        </w:rPr>
        <w:t>AlN</w:t>
      </w:r>
      <w:r w:rsidRPr="00BF5F1A">
        <w:t>,</w:t>
      </w:r>
      <w:r>
        <w:t xml:space="preserve"> </w:t>
      </w:r>
      <w:r>
        <w:rPr>
          <w:lang w:val="en-US"/>
        </w:rPr>
        <w:t>GaN</w:t>
      </w:r>
      <w:r>
        <w:t xml:space="preserve"> и </w:t>
      </w:r>
      <w:r w:rsidRPr="00BF5F1A">
        <w:rPr>
          <w:lang w:val="en-US"/>
        </w:rPr>
        <w:t>Ga</w:t>
      </w:r>
      <w:r w:rsidRPr="00BF5F1A">
        <w:rPr>
          <w:vertAlign w:val="subscript"/>
        </w:rPr>
        <w:t>2</w:t>
      </w:r>
      <w:r>
        <w:rPr>
          <w:lang w:val="en-US"/>
        </w:rPr>
        <w:t>O</w:t>
      </w:r>
      <w:r w:rsidRPr="00BF5F1A">
        <w:rPr>
          <w:vertAlign w:val="subscript"/>
        </w:rPr>
        <w:t>3</w:t>
      </w:r>
      <w:r w:rsidRPr="00BF5F1A">
        <w:t>. Предполагалось</w:t>
      </w:r>
      <w:r w:rsidR="00A70BD8">
        <w:t xml:space="preserve">, что композит </w:t>
      </w:r>
      <w:r>
        <w:t xml:space="preserve">закреплён в точках А и Б, а магнитное поле направлено вдоль оси </w:t>
      </w:r>
      <w:r>
        <w:rPr>
          <w:lang w:val="en-US"/>
        </w:rPr>
        <w:t>X</w:t>
      </w:r>
      <w:r>
        <w:t xml:space="preserve">. При расчёте значение </w:t>
      </w:r>
      <w:r>
        <w:rPr>
          <w:i/>
          <w:lang w:val="en-US"/>
        </w:rPr>
        <w:t>H</w:t>
      </w:r>
      <w:r>
        <w:t xml:space="preserve"> изменялось в диапазоне (0 – 1800) Э с шагом 2 Э, а </w:t>
      </w:r>
      <w:r>
        <w:rPr>
          <w:i/>
          <w:lang w:val="en-US"/>
        </w:rPr>
        <w:t>h</w:t>
      </w:r>
      <w:r>
        <w:t xml:space="preserve"> — в диапазоне (0 – 4) Э с шагом 1 Э. </w:t>
      </w:r>
      <w:r w:rsidR="002A00D8">
        <w:t>Компьютерный расчёт позволил получить данные о полевых и амплитудных зависимостях первых трёх гармоник МЭ напряжения.</w:t>
      </w:r>
    </w:p>
    <w:p w:rsidR="00235E74" w:rsidRPr="00BF5F1A" w:rsidRDefault="00235E74" w:rsidP="002A00D8">
      <w:pPr>
        <w:spacing w:after="240"/>
        <w:ind w:firstLine="397"/>
        <w:jc w:val="both"/>
      </w:pPr>
      <w:r w:rsidRPr="00E116D2">
        <w:lastRenderedPageBreak/>
        <w:t xml:space="preserve">На рис. 2(а) представлены зависимости второй гармоники МЭ напряжения от амплитуды переменного поля </w:t>
      </w:r>
      <w:r w:rsidRPr="00E116D2">
        <w:rPr>
          <w:i/>
          <w:lang w:val="en-US"/>
        </w:rPr>
        <w:t>h</w:t>
      </w:r>
      <w:r w:rsidRPr="00E116D2">
        <w:t xml:space="preserve"> при </w:t>
      </w:r>
      <w:r w:rsidRPr="00E116D2">
        <w:rPr>
          <w:i/>
          <w:lang w:val="en-US"/>
        </w:rPr>
        <w:t>H</w:t>
      </w:r>
      <w:r w:rsidRPr="00E116D2">
        <w:t xml:space="preserve"> = 32 Э, а на рис. 2(б) — зависимости третьей гармоники от амплитуды </w:t>
      </w:r>
      <w:r w:rsidRPr="00E116D2">
        <w:rPr>
          <w:i/>
          <w:lang w:val="en-US"/>
        </w:rPr>
        <w:t>h</w:t>
      </w:r>
      <w:r w:rsidRPr="00E116D2">
        <w:t xml:space="preserve"> при </w:t>
      </w:r>
      <w:r w:rsidRPr="00E116D2">
        <w:rPr>
          <w:i/>
          <w:lang w:val="en-US"/>
        </w:rPr>
        <w:t>H</w:t>
      </w:r>
      <w:r w:rsidRPr="00E116D2">
        <w:t xml:space="preserve"> = 648 Э. </w:t>
      </w:r>
      <w:r w:rsidR="00946D6D">
        <w:t>И</w:t>
      </w:r>
      <w:r w:rsidR="009166ED">
        <w:t>з</w:t>
      </w:r>
      <w:r w:rsidR="00946D6D">
        <w:t xml:space="preserve"> рисунка видно, что амплитуды обеих гармоник действительно пропорцио</w:t>
      </w:r>
      <w:r w:rsidR="00ED5C54">
        <w:t>н</w:t>
      </w:r>
      <w:r w:rsidR="00946D6D">
        <w:t xml:space="preserve">альны соответствующим степеням </w:t>
      </w:r>
      <w:r w:rsidR="00946D6D">
        <w:rPr>
          <w:i/>
          <w:lang w:val="en-US"/>
        </w:rPr>
        <w:t>h</w:t>
      </w:r>
      <w:r w:rsidRPr="00E116D2">
        <w:t xml:space="preserve">. </w:t>
      </w:r>
    </w:p>
    <w:tbl>
      <w:tblPr>
        <w:tblpPr w:leftFromText="180" w:rightFromText="180" w:vertAnchor="text" w:horzAnchor="margin" w:tblpY="14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542"/>
      </w:tblGrid>
      <w:tr w:rsidR="00235E74" w:rsidTr="00235E74">
        <w:trPr>
          <w:trHeight w:val="36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E74" w:rsidRDefault="003262F3" w:rsidP="00235E74">
            <w:pPr>
              <w:jc w:val="right"/>
              <w:rPr>
                <w:b/>
                <w:i/>
                <w:sz w:val="22"/>
                <w:szCs w:val="22"/>
              </w:rPr>
            </w:pPr>
            <w:r w:rsidRPr="00D04452">
              <w:rPr>
                <w:noProof/>
              </w:rPr>
              <w:drawing>
                <wp:inline distT="0" distB="0" distL="0" distR="0">
                  <wp:extent cx="2451100" cy="2013585"/>
                  <wp:effectExtent l="0" t="0" r="6350" b="571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201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E74" w:rsidRDefault="003262F3" w:rsidP="00235E74">
            <w:pPr>
              <w:rPr>
                <w:b/>
                <w:i/>
                <w:sz w:val="22"/>
                <w:szCs w:val="22"/>
              </w:rPr>
            </w:pPr>
            <w:r w:rsidRPr="00445A9B">
              <w:rPr>
                <w:noProof/>
              </w:rPr>
              <w:drawing>
                <wp:inline distT="0" distB="0" distL="0" distR="0">
                  <wp:extent cx="2373630" cy="1916430"/>
                  <wp:effectExtent l="0" t="0" r="7620" b="762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E74" w:rsidTr="00235E74">
        <w:trPr>
          <w:trHeight w:val="363"/>
        </w:trPr>
        <w:tc>
          <w:tcPr>
            <w:tcW w:w="10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5E74" w:rsidRDefault="00235E74" w:rsidP="002A00D8">
            <w:pPr>
              <w:spacing w:after="240"/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Рис. 2.</w:t>
            </w:r>
            <w:r>
              <w:rPr>
                <w:sz w:val="22"/>
                <w:szCs w:val="22"/>
              </w:rPr>
              <w:t xml:space="preserve"> Зависимость второй (а) и третьей (б) гармоник МЭ напряжения от амплитуды поля </w:t>
            </w:r>
            <w:r>
              <w:rPr>
                <w:i/>
                <w:sz w:val="22"/>
                <w:szCs w:val="22"/>
                <w:lang w:val="en-US"/>
              </w:rPr>
              <w:t>h</w:t>
            </w:r>
          </w:p>
        </w:tc>
      </w:tr>
    </w:tbl>
    <w:p w:rsidR="00235E74" w:rsidRPr="00456EE0" w:rsidRDefault="00235E74" w:rsidP="002A00D8">
      <w:pPr>
        <w:spacing w:after="240"/>
        <w:ind w:firstLine="397"/>
        <w:jc w:val="both"/>
      </w:pPr>
      <w:r w:rsidRPr="00456EE0">
        <w:t xml:space="preserve">Для характеристики высших гармоник МЭ напряжения используется нелинейный МЭ коэффициент </w:t>
      </w:r>
      <w:r w:rsidRPr="00456EE0">
        <w:rPr>
          <w:i/>
        </w:rPr>
        <w:t>α</w:t>
      </w:r>
      <w:r w:rsidRPr="00456EE0">
        <w:rPr>
          <w:i/>
          <w:vertAlign w:val="subscript"/>
          <w:lang w:val="en-US"/>
        </w:rPr>
        <w:t>k</w:t>
      </w:r>
      <w:r w:rsidRPr="00456EE0">
        <w:t>, равный:</w:t>
      </w:r>
    </w:p>
    <w:p w:rsidR="001A4A41" w:rsidRPr="00456EE0" w:rsidRDefault="00235E74" w:rsidP="009166ED">
      <w:pPr>
        <w:jc w:val="right"/>
      </w:pPr>
      <w:r w:rsidRPr="00456EE0">
        <w:t xml:space="preserve">  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r>
              <w:rPr>
                <w:rFonts w:ascii="Cambria Math" w:hAnsi="Cambria Math"/>
              </w:rPr>
              <m:t>b∙</m:t>
            </m:r>
            <m:sSup>
              <m:sSupPr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den>
        </m:f>
      </m:oMath>
      <w:r w:rsidRPr="00456EE0">
        <w:t xml:space="preserve">                                                                (4)</w:t>
      </w:r>
    </w:p>
    <w:p w:rsidR="00921F8C" w:rsidRPr="00456EE0" w:rsidRDefault="00235E74" w:rsidP="00011E41">
      <w:pPr>
        <w:ind w:firstLine="397"/>
        <w:jc w:val="both"/>
      </w:pPr>
      <w:r w:rsidRPr="00456EE0">
        <w:t xml:space="preserve">где </w:t>
      </w:r>
      <w:r w:rsidRPr="00456EE0">
        <w:rPr>
          <w:i/>
          <w:lang w:val="en-US"/>
        </w:rPr>
        <w:t>b</w:t>
      </w:r>
      <w:r w:rsidRPr="00456EE0">
        <w:t xml:space="preserve"> — толщина пьезополупроводника.</w:t>
      </w:r>
    </w:p>
    <w:p w:rsidR="00A70BD8" w:rsidRPr="00456EE0" w:rsidRDefault="00A70BD8" w:rsidP="00011E41">
      <w:pPr>
        <w:ind w:firstLine="397"/>
        <w:jc w:val="both"/>
      </w:pPr>
    </w:p>
    <w:p w:rsidR="00235E74" w:rsidRPr="00456EE0" w:rsidRDefault="00A70BD8" w:rsidP="00A70BD8">
      <w:pPr>
        <w:ind w:firstLine="397"/>
        <w:jc w:val="right"/>
        <w:rPr>
          <w:sz w:val="22"/>
        </w:rPr>
      </w:pPr>
      <w:r w:rsidRPr="00456EE0">
        <w:rPr>
          <w:b/>
          <w:i/>
          <w:sz w:val="22"/>
        </w:rPr>
        <w:t>Табл. 1.</w:t>
      </w:r>
      <w:r w:rsidRPr="00456EE0">
        <w:rPr>
          <w:sz w:val="22"/>
        </w:rPr>
        <w:t xml:space="preserve"> Значения МЭ коэффициентов исследуемых структу</w:t>
      </w:r>
      <w:r w:rsidR="002A00D8">
        <w:rPr>
          <w:sz w:val="22"/>
        </w:rPr>
        <w:t>р</w:t>
      </w:r>
    </w:p>
    <w:tbl>
      <w:tblPr>
        <w:tblpPr w:leftFromText="180" w:rightFromText="180" w:vertAnchor="text" w:horzAnchor="margin" w:tblpX="250" w:tblpY="14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3379"/>
        <w:gridCol w:w="3380"/>
      </w:tblGrid>
      <w:tr w:rsidR="00235E74" w:rsidRPr="00456EE0" w:rsidTr="00A70BD8">
        <w:trPr>
          <w:trHeight w:val="135"/>
        </w:trPr>
        <w:tc>
          <w:tcPr>
            <w:tcW w:w="2171" w:type="dxa"/>
            <w:vMerge w:val="restart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Структура</w:t>
            </w:r>
          </w:p>
        </w:tc>
        <w:tc>
          <w:tcPr>
            <w:tcW w:w="6759" w:type="dxa"/>
            <w:gridSpan w:val="2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Показатель</w:t>
            </w:r>
          </w:p>
        </w:tc>
      </w:tr>
      <w:tr w:rsidR="00235E74" w:rsidRPr="00456EE0" w:rsidTr="00A70BD8">
        <w:trPr>
          <w:trHeight w:val="140"/>
        </w:trPr>
        <w:tc>
          <w:tcPr>
            <w:tcW w:w="2171" w:type="dxa"/>
            <w:vMerge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</w:p>
        </w:tc>
        <w:tc>
          <w:tcPr>
            <w:tcW w:w="3379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rPr>
                <w:i/>
              </w:rPr>
              <w:t>α</w:t>
            </w:r>
            <w:r w:rsidRPr="00456EE0">
              <w:rPr>
                <w:vertAlign w:val="subscript"/>
              </w:rPr>
              <w:t xml:space="preserve"> 2</w:t>
            </w:r>
            <w:r w:rsidRPr="00456EE0">
              <w:t>,</w:t>
            </w:r>
            <w:r w:rsidRPr="00456EE0">
              <w:rPr>
                <w:lang w:val="en-US"/>
              </w:rPr>
              <w:t> </w:t>
            </w:r>
            <w:r w:rsidRPr="00456EE0">
              <w:t>мВ/(см∙Э</w:t>
            </w:r>
            <w:r w:rsidRPr="00456EE0">
              <w:rPr>
                <w:vertAlign w:val="superscript"/>
              </w:rPr>
              <w:t>2</w:t>
            </w:r>
            <w:r w:rsidRPr="00456EE0">
              <w:t>)</w:t>
            </w:r>
            <w:r w:rsidRPr="00456EE0">
              <w:rPr>
                <w:lang w:val="en-US"/>
              </w:rPr>
              <w:t> </w:t>
            </w:r>
          </w:p>
        </w:tc>
        <w:tc>
          <w:tcPr>
            <w:tcW w:w="3380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rPr>
                <w:i/>
              </w:rPr>
              <w:t>α</w:t>
            </w:r>
            <w:r w:rsidRPr="00456EE0">
              <w:rPr>
                <w:vertAlign w:val="subscript"/>
              </w:rPr>
              <w:t xml:space="preserve"> 3</w:t>
            </w:r>
            <w:r w:rsidRPr="00456EE0">
              <w:t>,</w:t>
            </w:r>
            <w:r w:rsidRPr="00456EE0">
              <w:rPr>
                <w:lang w:val="en-US"/>
              </w:rPr>
              <w:t> </w:t>
            </w:r>
            <w:r w:rsidRPr="00456EE0">
              <w:t>нВ/(см∙Э</w:t>
            </w:r>
            <w:r w:rsidRPr="00456EE0">
              <w:rPr>
                <w:vertAlign w:val="superscript"/>
              </w:rPr>
              <w:t>3</w:t>
            </w:r>
            <w:r w:rsidRPr="00456EE0">
              <w:t>)</w:t>
            </w:r>
            <w:r w:rsidRPr="00456EE0">
              <w:rPr>
                <w:lang w:val="en-US"/>
              </w:rPr>
              <w:t> </w:t>
            </w:r>
          </w:p>
        </w:tc>
      </w:tr>
      <w:tr w:rsidR="00235E74" w:rsidRPr="00456EE0" w:rsidTr="00A70BD8">
        <w:trPr>
          <w:trHeight w:val="76"/>
        </w:trPr>
        <w:tc>
          <w:tcPr>
            <w:tcW w:w="2171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rPr>
                <w:lang w:val="en-US"/>
              </w:rPr>
              <w:t>Ni</w:t>
            </w:r>
            <w:r w:rsidRPr="00456EE0">
              <w:t>/</w:t>
            </w:r>
            <w:r w:rsidRPr="00456EE0">
              <w:rPr>
                <w:lang w:val="en-US"/>
              </w:rPr>
              <w:t>AlN</w:t>
            </w:r>
          </w:p>
        </w:tc>
        <w:tc>
          <w:tcPr>
            <w:tcW w:w="3379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0,44</w:t>
            </w:r>
          </w:p>
        </w:tc>
        <w:tc>
          <w:tcPr>
            <w:tcW w:w="3380" w:type="dxa"/>
            <w:vAlign w:val="center"/>
          </w:tcPr>
          <w:p w:rsidR="00235E74" w:rsidRPr="00456EE0" w:rsidRDefault="00D04452" w:rsidP="00A70BD8">
            <w:pPr>
              <w:ind w:firstLine="426"/>
              <w:jc w:val="center"/>
            </w:pPr>
            <w:r>
              <w:t>9,8</w:t>
            </w:r>
          </w:p>
        </w:tc>
      </w:tr>
      <w:tr w:rsidR="00235E74" w:rsidRPr="00456EE0" w:rsidTr="00A70BD8">
        <w:trPr>
          <w:trHeight w:val="76"/>
        </w:trPr>
        <w:tc>
          <w:tcPr>
            <w:tcW w:w="2171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rPr>
                <w:lang w:val="en-US"/>
              </w:rPr>
              <w:t>Ni</w:t>
            </w:r>
            <w:r w:rsidRPr="00456EE0">
              <w:t>/</w:t>
            </w:r>
            <w:r w:rsidRPr="00456EE0">
              <w:rPr>
                <w:lang w:val="en-US"/>
              </w:rPr>
              <w:t>GaN</w:t>
            </w:r>
          </w:p>
        </w:tc>
        <w:tc>
          <w:tcPr>
            <w:tcW w:w="3379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0,53</w:t>
            </w:r>
          </w:p>
        </w:tc>
        <w:tc>
          <w:tcPr>
            <w:tcW w:w="3380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12</w:t>
            </w:r>
            <w:r w:rsidR="00D04452">
              <w:t>,16</w:t>
            </w:r>
          </w:p>
        </w:tc>
      </w:tr>
      <w:tr w:rsidR="00235E74" w:rsidRPr="00D10638" w:rsidTr="00A70BD8">
        <w:trPr>
          <w:trHeight w:val="76"/>
        </w:trPr>
        <w:tc>
          <w:tcPr>
            <w:tcW w:w="2171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rPr>
                <w:lang w:val="en-US"/>
              </w:rPr>
              <w:t>Ni</w:t>
            </w:r>
            <w:r w:rsidRPr="00456EE0">
              <w:t>/</w:t>
            </w:r>
            <w:r w:rsidRPr="00456EE0">
              <w:rPr>
                <w:lang w:val="en-US"/>
              </w:rPr>
              <w:t>Ga</w:t>
            </w:r>
            <w:r w:rsidRPr="00456EE0">
              <w:rPr>
                <w:vertAlign w:val="subscript"/>
              </w:rPr>
              <w:t>2</w:t>
            </w:r>
            <w:r w:rsidRPr="00456EE0">
              <w:rPr>
                <w:lang w:val="en-US"/>
              </w:rPr>
              <w:t>O</w:t>
            </w:r>
            <w:r w:rsidRPr="00456EE0">
              <w:rPr>
                <w:vertAlign w:val="subscript"/>
              </w:rPr>
              <w:t>3</w:t>
            </w:r>
          </w:p>
        </w:tc>
        <w:tc>
          <w:tcPr>
            <w:tcW w:w="3379" w:type="dxa"/>
            <w:vAlign w:val="center"/>
          </w:tcPr>
          <w:p w:rsidR="00235E74" w:rsidRPr="00456EE0" w:rsidRDefault="00235E74" w:rsidP="00A70BD8">
            <w:pPr>
              <w:ind w:firstLine="426"/>
              <w:jc w:val="center"/>
            </w:pPr>
            <w:r w:rsidRPr="00456EE0">
              <w:t>0,2</w:t>
            </w:r>
            <w:r w:rsidR="002A00D8">
              <w:t>7</w:t>
            </w:r>
          </w:p>
        </w:tc>
        <w:tc>
          <w:tcPr>
            <w:tcW w:w="3380" w:type="dxa"/>
            <w:vAlign w:val="center"/>
          </w:tcPr>
          <w:p w:rsidR="00235E74" w:rsidRPr="00456EE0" w:rsidRDefault="00D04452" w:rsidP="00A70BD8">
            <w:pPr>
              <w:ind w:firstLine="426"/>
              <w:jc w:val="center"/>
            </w:pPr>
            <w:r>
              <w:t>5,82</w:t>
            </w:r>
          </w:p>
        </w:tc>
      </w:tr>
    </w:tbl>
    <w:p w:rsidR="00567E13" w:rsidRPr="007A4E9A" w:rsidRDefault="00567E13" w:rsidP="00BC53DF">
      <w:pPr>
        <w:jc w:val="both"/>
      </w:pPr>
    </w:p>
    <w:p w:rsidR="00813C9E" w:rsidRPr="00946D6D" w:rsidRDefault="00A70BD8" w:rsidP="00A70BD8">
      <w:pPr>
        <w:ind w:firstLine="426"/>
        <w:jc w:val="both"/>
      </w:pPr>
      <w:r w:rsidRPr="00DF548A">
        <w:t>Значения МЭ коэффициентов для второй и третьей гармоник приведены в табл. 1. Из неё следует, что наилучшими МЭ свойства обладал</w:t>
      </w:r>
      <w:r w:rsidR="00946D6D" w:rsidRPr="00DF548A">
        <w:t xml:space="preserve"> композит на основе </w:t>
      </w:r>
      <w:r w:rsidR="00946D6D" w:rsidRPr="00DF548A">
        <w:rPr>
          <w:lang w:val="en-US"/>
        </w:rPr>
        <w:t>GaN</w:t>
      </w:r>
      <w:r w:rsidR="00946D6D" w:rsidRPr="00DF548A">
        <w:t>, следовательно, он имеет наибольшие перспективы применения в науке и технике.</w:t>
      </w:r>
    </w:p>
    <w:p w:rsidR="004F0E58" w:rsidRPr="00813C9E" w:rsidRDefault="00813C9E" w:rsidP="00011E41">
      <w:pPr>
        <w:ind w:firstLine="397"/>
        <w:jc w:val="both"/>
      </w:pPr>
      <w:r w:rsidRPr="00BE4FB8">
        <w:rPr>
          <w:color w:val="000000"/>
        </w:rPr>
        <w:t>Работа выполнена при поддержке грант</w:t>
      </w:r>
      <w:r>
        <w:rPr>
          <w:color w:val="000000"/>
        </w:rPr>
        <w:t>а</w:t>
      </w:r>
      <w:r w:rsidR="000D3998">
        <w:rPr>
          <w:color w:val="000000"/>
        </w:rPr>
        <w:t xml:space="preserve"> </w:t>
      </w:r>
      <w:r w:rsidR="00DF548A">
        <w:rPr>
          <w:color w:val="000000"/>
        </w:rPr>
        <w:t>19-79-10128-П.</w:t>
      </w:r>
      <w:r w:rsidR="007A4E9A">
        <w:rPr>
          <w:color w:val="000000"/>
        </w:rPr>
        <w:t xml:space="preserve"> Автор также выража</w:t>
      </w:r>
      <w:r w:rsidR="000D3998">
        <w:rPr>
          <w:color w:val="000000"/>
          <w:lang w:eastAsia="ja-JP"/>
        </w:rPr>
        <w:t>е</w:t>
      </w:r>
      <w:r w:rsidR="007A4E9A">
        <w:rPr>
          <w:color w:val="000000"/>
        </w:rPr>
        <w:t xml:space="preserve">т благодарность своему научному руководителю </w:t>
      </w:r>
      <w:r w:rsidR="007A4E9A" w:rsidRPr="001949BF">
        <w:rPr>
          <w:color w:val="000000"/>
        </w:rPr>
        <w:t>—</w:t>
      </w:r>
      <w:r w:rsidR="007A4E9A">
        <w:rPr>
          <w:color w:val="000000"/>
        </w:rPr>
        <w:t xml:space="preserve"> д-</w:t>
      </w:r>
      <w:r w:rsidR="001949BF">
        <w:rPr>
          <w:color w:val="000000"/>
        </w:rPr>
        <w:t>ру</w:t>
      </w:r>
      <w:r w:rsidR="007A4E9A">
        <w:rPr>
          <w:color w:val="000000"/>
        </w:rPr>
        <w:t xml:space="preserve"> физ.-</w:t>
      </w:r>
      <w:r w:rsidR="001949BF">
        <w:rPr>
          <w:color w:val="000000"/>
        </w:rPr>
        <w:t>мат. наук, проф. Л.Ю. Фетисову</w:t>
      </w: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946D6D" w:rsidRDefault="00B80663" w:rsidP="00DF13A4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>
        <w:rPr>
          <w:szCs w:val="20"/>
        </w:rPr>
        <w:t>Кал</w:t>
      </w:r>
      <w:r w:rsidR="00946D6D">
        <w:rPr>
          <w:szCs w:val="20"/>
        </w:rPr>
        <w:t>г</w:t>
      </w:r>
      <w:bookmarkStart w:id="0" w:name="_GoBack"/>
      <w:bookmarkEnd w:id="0"/>
      <w:r w:rsidR="00946D6D">
        <w:rPr>
          <w:szCs w:val="20"/>
        </w:rPr>
        <w:t>ин А.В. и др</w:t>
      </w:r>
      <w:r w:rsidR="001942D4" w:rsidRPr="00946D6D">
        <w:rPr>
          <w:szCs w:val="20"/>
        </w:rPr>
        <w:t xml:space="preserve">. </w:t>
      </w:r>
      <w:r w:rsidR="00946D6D">
        <w:rPr>
          <w:szCs w:val="20"/>
        </w:rPr>
        <w:t>Магнитоэлектрический эффект: история, современное состояние исследований и перспективы применения</w:t>
      </w:r>
      <w:r w:rsidR="001942D4" w:rsidRPr="00946D6D">
        <w:rPr>
          <w:szCs w:val="20"/>
        </w:rPr>
        <w:t xml:space="preserve"> // </w:t>
      </w:r>
      <w:r w:rsidR="00946D6D">
        <w:rPr>
          <w:szCs w:val="20"/>
        </w:rPr>
        <w:t>Альт. Энергетика и экология. 2013</w:t>
      </w:r>
      <w:r w:rsidR="001942D4" w:rsidRPr="00946D6D">
        <w:rPr>
          <w:szCs w:val="20"/>
        </w:rPr>
        <w:t>.</w:t>
      </w:r>
      <w:r w:rsidR="00946D6D">
        <w:rPr>
          <w:szCs w:val="20"/>
        </w:rPr>
        <w:t xml:space="preserve"> </w:t>
      </w:r>
      <w:r w:rsidR="0096672C">
        <w:rPr>
          <w:szCs w:val="20"/>
        </w:rPr>
        <w:t>№ </w:t>
      </w:r>
      <w:r w:rsidR="00946D6D">
        <w:rPr>
          <w:szCs w:val="20"/>
        </w:rPr>
        <w:t>03/2</w:t>
      </w:r>
      <w:r w:rsidR="0096672C">
        <w:rPr>
          <w:szCs w:val="20"/>
        </w:rPr>
        <w:t> </w:t>
      </w:r>
      <w:r w:rsidR="00946D6D">
        <w:rPr>
          <w:szCs w:val="20"/>
        </w:rPr>
        <w:t>(122)</w:t>
      </w:r>
      <w:r w:rsidR="00C56CAA">
        <w:rPr>
          <w:szCs w:val="20"/>
        </w:rPr>
        <w:t>.</w:t>
      </w:r>
      <w:r w:rsidR="0096672C">
        <w:rPr>
          <w:szCs w:val="20"/>
        </w:rPr>
        <w:t xml:space="preserve"> с. 49-63.</w:t>
      </w:r>
      <w:r w:rsidR="00EF5FB6" w:rsidRPr="00946D6D">
        <w:rPr>
          <w:i/>
          <w:szCs w:val="20"/>
        </w:rPr>
        <w:t xml:space="preserve"> </w:t>
      </w:r>
    </w:p>
    <w:p w:rsidR="0031739B" w:rsidRPr="00A70BD8" w:rsidRDefault="003D0E85" w:rsidP="00DF13A4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</w:rPr>
      </w:pPr>
      <w:r w:rsidRPr="003D0E85">
        <w:rPr>
          <w:szCs w:val="20"/>
        </w:rPr>
        <w:t>Федулов Ф.А.</w:t>
      </w:r>
      <w:r>
        <w:rPr>
          <w:szCs w:val="20"/>
        </w:rPr>
        <w:t xml:space="preserve"> и др</w:t>
      </w:r>
      <w:r w:rsidRPr="003D0E85">
        <w:rPr>
          <w:szCs w:val="20"/>
        </w:rPr>
        <w:t xml:space="preserve">. Магнитоэлектрический эффект в двухслойных полосковых и периодических гетероструктурах никель – цирконат-титанат свинца // </w:t>
      </w:r>
      <w:r>
        <w:rPr>
          <w:szCs w:val="20"/>
        </w:rPr>
        <w:t>РТЖ</w:t>
      </w:r>
      <w:r w:rsidRPr="003D0E85">
        <w:rPr>
          <w:szCs w:val="20"/>
        </w:rPr>
        <w:t>. 2022. № 10(3). с. 64-73.</w:t>
      </w:r>
      <w:r w:rsidR="0031739B" w:rsidRPr="003D0E85">
        <w:rPr>
          <w:i/>
          <w:szCs w:val="20"/>
        </w:rPr>
        <w:t xml:space="preserve"> </w:t>
      </w:r>
    </w:p>
    <w:p w:rsidR="00A70BD8" w:rsidRPr="002A00D8" w:rsidRDefault="00A70BD8" w:rsidP="00A70BD8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  <w:lang w:val="en-US"/>
        </w:rPr>
      </w:pPr>
      <w:r w:rsidRPr="002A00D8">
        <w:rPr>
          <w:szCs w:val="20"/>
          <w:lang w:val="en-US"/>
        </w:rPr>
        <w:t>Guo S.-D., Du H.-M. Piezoelectric properties of Ga</w:t>
      </w:r>
      <w:r w:rsidRPr="002A00D8">
        <w:rPr>
          <w:szCs w:val="20"/>
          <w:vertAlign w:val="subscript"/>
          <w:lang w:val="en-US"/>
        </w:rPr>
        <w:t>2</w:t>
      </w:r>
      <w:r w:rsidRPr="002A00D8">
        <w:rPr>
          <w:szCs w:val="20"/>
          <w:lang w:val="en-US"/>
        </w:rPr>
        <w:t>O</w:t>
      </w:r>
      <w:r w:rsidRPr="002A00D8">
        <w:rPr>
          <w:szCs w:val="20"/>
          <w:vertAlign w:val="subscript"/>
          <w:lang w:val="en-US"/>
        </w:rPr>
        <w:t>3</w:t>
      </w:r>
      <w:r w:rsidRPr="002A00D8">
        <w:rPr>
          <w:szCs w:val="20"/>
          <w:lang w:val="en-US"/>
        </w:rPr>
        <w:t>: a first-principle study. // Th</w:t>
      </w:r>
      <w:r w:rsidR="00C56CAA">
        <w:rPr>
          <w:szCs w:val="20"/>
          <w:lang w:val="en-US"/>
        </w:rPr>
        <w:t>e Europian Physical Journal B. 2020. v. 93(7).</w:t>
      </w:r>
      <w:r w:rsidRPr="002A00D8">
        <w:rPr>
          <w:szCs w:val="20"/>
          <w:lang w:val="en-US"/>
        </w:rPr>
        <w:t xml:space="preserve"> p. 1-5.</w:t>
      </w:r>
    </w:p>
    <w:p w:rsidR="00DE2786" w:rsidRPr="002A00D8" w:rsidRDefault="00DE2786" w:rsidP="00DE2786">
      <w:pPr>
        <w:pStyle w:val="ab"/>
        <w:numPr>
          <w:ilvl w:val="0"/>
          <w:numId w:val="6"/>
        </w:numPr>
        <w:ind w:left="709" w:hanging="283"/>
        <w:rPr>
          <w:szCs w:val="20"/>
          <w:lang w:val="en-US"/>
        </w:rPr>
      </w:pPr>
      <w:r w:rsidRPr="002A00D8">
        <w:rPr>
          <w:szCs w:val="20"/>
          <w:lang w:val="en-US"/>
        </w:rPr>
        <w:t xml:space="preserve">Zoino S. et al.  </w:t>
      </w:r>
      <w:r w:rsidRPr="002A00D8">
        <w:rPr>
          <w:iCs/>
          <w:szCs w:val="20"/>
          <w:lang w:val="en-US"/>
        </w:rPr>
        <w:t>Ab initio</w:t>
      </w:r>
      <w:r w:rsidRPr="002A00D8">
        <w:rPr>
          <w:szCs w:val="20"/>
          <w:lang w:val="en-US"/>
        </w:rPr>
        <w:t xml:space="preserve"> investigations of two-dimensional carrier gas at interfaces in GaN/AlN and GaN/AlN/Al</w:t>
      </w:r>
      <w:r w:rsidRPr="002A00D8">
        <w:rPr>
          <w:szCs w:val="20"/>
          <w:vertAlign w:val="subscript"/>
          <w:lang w:val="en-US"/>
        </w:rPr>
        <w:t>2</w:t>
      </w:r>
      <w:r w:rsidRPr="002A00D8">
        <w:rPr>
          <w:szCs w:val="20"/>
          <w:lang w:val="en-US"/>
        </w:rPr>
        <w:t>O</w:t>
      </w:r>
      <w:r w:rsidRPr="002A00D8">
        <w:rPr>
          <w:szCs w:val="20"/>
          <w:vertAlign w:val="subscript"/>
          <w:lang w:val="en-US"/>
        </w:rPr>
        <w:t>3</w:t>
      </w:r>
      <w:r w:rsidRPr="002A00D8">
        <w:rPr>
          <w:szCs w:val="20"/>
          <w:lang w:val="en-US"/>
        </w:rPr>
        <w:t xml:space="preserve"> heterostructures. // Journal of Appl</w:t>
      </w:r>
      <w:r w:rsidR="00C56CAA">
        <w:rPr>
          <w:szCs w:val="20"/>
          <w:lang w:val="en-US"/>
        </w:rPr>
        <w:t>ied Physics. 2023. v. 134.</w:t>
      </w:r>
      <w:r w:rsidRPr="002A00D8">
        <w:rPr>
          <w:szCs w:val="20"/>
          <w:lang w:val="en-US"/>
        </w:rPr>
        <w:t xml:space="preserve"> p. 155304.</w:t>
      </w:r>
    </w:p>
    <w:sectPr w:rsidR="00DE2786" w:rsidRPr="002A00D8" w:rsidSect="00C56CAA">
      <w:footerReference w:type="even" r:id="rId11"/>
      <w:footerReference w:type="default" r:id="rId12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55" w:rsidRDefault="00520E55">
      <w:r>
        <w:separator/>
      </w:r>
    </w:p>
  </w:endnote>
  <w:endnote w:type="continuationSeparator" w:id="0">
    <w:p w:rsidR="00520E55" w:rsidRDefault="0052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55" w:rsidRDefault="00520E55">
      <w:r>
        <w:separator/>
      </w:r>
    </w:p>
  </w:footnote>
  <w:footnote w:type="continuationSeparator" w:id="0">
    <w:p w:rsidR="00520E55" w:rsidRDefault="0052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0B2104"/>
    <w:multiLevelType w:val="hybridMultilevel"/>
    <w:tmpl w:val="E73C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14A6E"/>
    <w:rsid w:val="00041583"/>
    <w:rsid w:val="00057723"/>
    <w:rsid w:val="00073747"/>
    <w:rsid w:val="00082FB2"/>
    <w:rsid w:val="00084FBB"/>
    <w:rsid w:val="00087F9C"/>
    <w:rsid w:val="000A66E6"/>
    <w:rsid w:val="000A7C0A"/>
    <w:rsid w:val="000B764C"/>
    <w:rsid w:val="000C514B"/>
    <w:rsid w:val="000D3998"/>
    <w:rsid w:val="000D3C93"/>
    <w:rsid w:val="00101912"/>
    <w:rsid w:val="00113667"/>
    <w:rsid w:val="00144DB5"/>
    <w:rsid w:val="00145559"/>
    <w:rsid w:val="00145725"/>
    <w:rsid w:val="001560FA"/>
    <w:rsid w:val="00191B00"/>
    <w:rsid w:val="001942D4"/>
    <w:rsid w:val="001949BF"/>
    <w:rsid w:val="001A4A41"/>
    <w:rsid w:val="001C34DE"/>
    <w:rsid w:val="001C65A7"/>
    <w:rsid w:val="001D29DC"/>
    <w:rsid w:val="00203945"/>
    <w:rsid w:val="00213A18"/>
    <w:rsid w:val="00235E74"/>
    <w:rsid w:val="0025114D"/>
    <w:rsid w:val="00251F65"/>
    <w:rsid w:val="002522CA"/>
    <w:rsid w:val="002560ED"/>
    <w:rsid w:val="002700F0"/>
    <w:rsid w:val="002946A7"/>
    <w:rsid w:val="002A00D8"/>
    <w:rsid w:val="002D0661"/>
    <w:rsid w:val="00301E98"/>
    <w:rsid w:val="003134BF"/>
    <w:rsid w:val="0031739B"/>
    <w:rsid w:val="003262F3"/>
    <w:rsid w:val="0034624D"/>
    <w:rsid w:val="0036078F"/>
    <w:rsid w:val="00372B30"/>
    <w:rsid w:val="003848E8"/>
    <w:rsid w:val="00387196"/>
    <w:rsid w:val="003A1889"/>
    <w:rsid w:val="003A7D50"/>
    <w:rsid w:val="003B0219"/>
    <w:rsid w:val="003C2FE5"/>
    <w:rsid w:val="003C5C4E"/>
    <w:rsid w:val="003C665C"/>
    <w:rsid w:val="003D0E85"/>
    <w:rsid w:val="003E685C"/>
    <w:rsid w:val="004055C0"/>
    <w:rsid w:val="0040718C"/>
    <w:rsid w:val="00412D4B"/>
    <w:rsid w:val="00442D0A"/>
    <w:rsid w:val="00445A9B"/>
    <w:rsid w:val="00456EE0"/>
    <w:rsid w:val="00461070"/>
    <w:rsid w:val="004652AD"/>
    <w:rsid w:val="00471C89"/>
    <w:rsid w:val="004774A3"/>
    <w:rsid w:val="00486049"/>
    <w:rsid w:val="004C0ACD"/>
    <w:rsid w:val="004C1B51"/>
    <w:rsid w:val="004F0E58"/>
    <w:rsid w:val="004F3B26"/>
    <w:rsid w:val="00520E55"/>
    <w:rsid w:val="00522F93"/>
    <w:rsid w:val="00536E00"/>
    <w:rsid w:val="005656FA"/>
    <w:rsid w:val="00567E13"/>
    <w:rsid w:val="00585FDB"/>
    <w:rsid w:val="005A0ADD"/>
    <w:rsid w:val="005B478A"/>
    <w:rsid w:val="005C1810"/>
    <w:rsid w:val="005C4A45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434D7"/>
    <w:rsid w:val="007533AC"/>
    <w:rsid w:val="00763BEC"/>
    <w:rsid w:val="007650DD"/>
    <w:rsid w:val="00774885"/>
    <w:rsid w:val="0078361D"/>
    <w:rsid w:val="007A4E9A"/>
    <w:rsid w:val="007A5F00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2B6F"/>
    <w:rsid w:val="00853D7F"/>
    <w:rsid w:val="008734EC"/>
    <w:rsid w:val="00894C3C"/>
    <w:rsid w:val="008A2CA1"/>
    <w:rsid w:val="008A36BD"/>
    <w:rsid w:val="008C1013"/>
    <w:rsid w:val="008D0BC8"/>
    <w:rsid w:val="008D3631"/>
    <w:rsid w:val="008E6318"/>
    <w:rsid w:val="008F41D2"/>
    <w:rsid w:val="008F5B75"/>
    <w:rsid w:val="00904BA7"/>
    <w:rsid w:val="009166ED"/>
    <w:rsid w:val="00921F8C"/>
    <w:rsid w:val="00925138"/>
    <w:rsid w:val="00944207"/>
    <w:rsid w:val="00944FCC"/>
    <w:rsid w:val="00946D6D"/>
    <w:rsid w:val="00960060"/>
    <w:rsid w:val="009654CD"/>
    <w:rsid w:val="0096672C"/>
    <w:rsid w:val="00971DA1"/>
    <w:rsid w:val="009C34AB"/>
    <w:rsid w:val="009C6D9B"/>
    <w:rsid w:val="009E0F5D"/>
    <w:rsid w:val="009F1B7E"/>
    <w:rsid w:val="009F3AFE"/>
    <w:rsid w:val="00A01356"/>
    <w:rsid w:val="00A31590"/>
    <w:rsid w:val="00A318C8"/>
    <w:rsid w:val="00A56C1E"/>
    <w:rsid w:val="00A70BD8"/>
    <w:rsid w:val="00A70FE2"/>
    <w:rsid w:val="00A802C8"/>
    <w:rsid w:val="00AB56D9"/>
    <w:rsid w:val="00AC5DB0"/>
    <w:rsid w:val="00AD4300"/>
    <w:rsid w:val="00B07841"/>
    <w:rsid w:val="00B40569"/>
    <w:rsid w:val="00B60661"/>
    <w:rsid w:val="00B71CCF"/>
    <w:rsid w:val="00B80663"/>
    <w:rsid w:val="00B87ADC"/>
    <w:rsid w:val="00B9050C"/>
    <w:rsid w:val="00B96A24"/>
    <w:rsid w:val="00BA269F"/>
    <w:rsid w:val="00BB1D57"/>
    <w:rsid w:val="00BB3FBB"/>
    <w:rsid w:val="00BC53DF"/>
    <w:rsid w:val="00BF1D85"/>
    <w:rsid w:val="00BF258B"/>
    <w:rsid w:val="00BF5F1A"/>
    <w:rsid w:val="00C05B26"/>
    <w:rsid w:val="00C13C66"/>
    <w:rsid w:val="00C23BEC"/>
    <w:rsid w:val="00C248C4"/>
    <w:rsid w:val="00C36A19"/>
    <w:rsid w:val="00C55FC0"/>
    <w:rsid w:val="00C56CAA"/>
    <w:rsid w:val="00C64D5B"/>
    <w:rsid w:val="00C66EBE"/>
    <w:rsid w:val="00C74949"/>
    <w:rsid w:val="00C81821"/>
    <w:rsid w:val="00C82183"/>
    <w:rsid w:val="00C92CD8"/>
    <w:rsid w:val="00CB6E41"/>
    <w:rsid w:val="00CC748C"/>
    <w:rsid w:val="00CD4908"/>
    <w:rsid w:val="00CE5B12"/>
    <w:rsid w:val="00CE70BA"/>
    <w:rsid w:val="00CF08CB"/>
    <w:rsid w:val="00CF1775"/>
    <w:rsid w:val="00D04452"/>
    <w:rsid w:val="00D10638"/>
    <w:rsid w:val="00D11384"/>
    <w:rsid w:val="00D30E5B"/>
    <w:rsid w:val="00D6493C"/>
    <w:rsid w:val="00D86B98"/>
    <w:rsid w:val="00D90DF5"/>
    <w:rsid w:val="00DD7765"/>
    <w:rsid w:val="00DE2786"/>
    <w:rsid w:val="00DE3FE2"/>
    <w:rsid w:val="00DF13A4"/>
    <w:rsid w:val="00DF2371"/>
    <w:rsid w:val="00DF548A"/>
    <w:rsid w:val="00E116D2"/>
    <w:rsid w:val="00E20375"/>
    <w:rsid w:val="00E22224"/>
    <w:rsid w:val="00E47B7E"/>
    <w:rsid w:val="00E63F1A"/>
    <w:rsid w:val="00E64A9A"/>
    <w:rsid w:val="00E65676"/>
    <w:rsid w:val="00E65683"/>
    <w:rsid w:val="00E7365C"/>
    <w:rsid w:val="00EA4C97"/>
    <w:rsid w:val="00EB2274"/>
    <w:rsid w:val="00ED0FEB"/>
    <w:rsid w:val="00ED5C54"/>
    <w:rsid w:val="00EE2373"/>
    <w:rsid w:val="00EF5FB6"/>
    <w:rsid w:val="00F057E9"/>
    <w:rsid w:val="00F30866"/>
    <w:rsid w:val="00F337E0"/>
    <w:rsid w:val="00F40B92"/>
    <w:rsid w:val="00F538BF"/>
    <w:rsid w:val="00F608A5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67EBA-E457-4E6B-9F19-86349E9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B478A"/>
    <w:rPr>
      <w:sz w:val="24"/>
      <w:szCs w:val="24"/>
    </w:rPr>
  </w:style>
  <w:style w:type="character" w:styleId="af0">
    <w:name w:val="annotation reference"/>
    <w:semiHidden/>
    <w:unhideWhenUsed/>
    <w:rsid w:val="00251F6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251F6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251F65"/>
  </w:style>
  <w:style w:type="paragraph" w:styleId="af3">
    <w:name w:val="annotation subject"/>
    <w:basedOn w:val="af1"/>
    <w:next w:val="af1"/>
    <w:link w:val="af4"/>
    <w:semiHidden/>
    <w:unhideWhenUsed/>
    <w:rsid w:val="00251F65"/>
    <w:rPr>
      <w:b/>
      <w:bCs/>
    </w:rPr>
  </w:style>
  <w:style w:type="character" w:customStyle="1" w:styleId="af4">
    <w:name w:val="Тема примечания Знак"/>
    <w:link w:val="af3"/>
    <w:semiHidden/>
    <w:rsid w:val="00251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1103-8DEC-4F4C-9455-C6DDBE70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Михаил Джапаридзе</dc:creator>
  <cp:keywords/>
  <cp:lastModifiedBy>Mikhail Djaparidze</cp:lastModifiedBy>
  <cp:revision>2</cp:revision>
  <dcterms:created xsi:type="dcterms:W3CDTF">2024-02-16T09:24:00Z</dcterms:created>
  <dcterms:modified xsi:type="dcterms:W3CDTF">2024-02-16T09:24:00Z</dcterms:modified>
</cp:coreProperties>
</file>