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Магнитооптическая Керр спектроскопия нанокомпозитов   Co</w:t>
      </w:r>
      <w:r>
        <w:rPr>
          <w:b/>
          <w:vertAlign w:val="subscript"/>
          <w:lang w:val="en-US"/>
        </w:rPr>
        <w:t>x</w:t>
      </w:r>
      <w:r>
        <w:rPr>
          <w:b/>
        </w:rPr>
        <w:t>(SiO</w:t>
      </w:r>
      <w:r>
        <w:rPr>
          <w:b/>
          <w:vertAlign w:val="subscript"/>
        </w:rPr>
        <w:t>2</w:t>
      </w:r>
      <w:r>
        <w:rPr>
          <w:b/>
        </w:rPr>
        <w:t>)</w:t>
      </w:r>
      <w:r>
        <w:rPr>
          <w:b/>
          <w:vertAlign w:val="subscript"/>
        </w:rPr>
        <w:t>100-</w:t>
      </w:r>
      <w:r>
        <w:rPr>
          <w:b/>
          <w:vertAlign w:val="subscript"/>
          <w:lang w:val="en-US"/>
        </w:rPr>
        <w:t>x</w:t>
      </w:r>
      <w:r>
        <w:rPr>
          <w:b/>
        </w:rPr>
        <w:t>, Co</w:t>
      </w:r>
      <w:r>
        <w:rPr>
          <w:b/>
          <w:vertAlign w:val="subscript"/>
        </w:rPr>
        <w:t>x</w:t>
      </w:r>
      <w:r>
        <w:rPr>
          <w:b/>
        </w:rPr>
        <w:t>(</w:t>
      </w:r>
      <w:r>
        <w:rPr>
          <w:b/>
          <w:lang w:val="en-US"/>
        </w:rPr>
        <w:t>Al</w:t>
      </w:r>
      <w:r>
        <w:rPr>
          <w:b/>
          <w:vertAlign w:val="subscript"/>
        </w:rPr>
        <w:t>2</w:t>
      </w:r>
      <w:r>
        <w:rPr>
          <w:b/>
        </w:rPr>
        <w:t>O</w:t>
      </w:r>
      <w:r>
        <w:rPr>
          <w:b/>
          <w:vertAlign w:val="subscript"/>
        </w:rPr>
        <w:t>3</w:t>
      </w:r>
      <w:r>
        <w:rPr>
          <w:b/>
        </w:rPr>
        <w:t>)</w:t>
      </w:r>
      <w:r>
        <w:rPr>
          <w:b/>
          <w:vertAlign w:val="subscript"/>
        </w:rPr>
        <w:t>100-</w:t>
      </w:r>
      <w:r>
        <w:rPr>
          <w:b/>
          <w:vertAlign w:val="subscript"/>
          <w:lang w:val="en-US"/>
        </w:rPr>
        <w:t>x</w:t>
      </w:r>
      <w:r>
        <w:rPr>
          <w:b/>
        </w:rPr>
        <w:t xml:space="preserve">: влияние диэлектрической матрицы и размерный эффект  </w:t>
      </w:r>
    </w:p>
    <w:p>
      <w:pPr>
        <w:pStyle w:val="Normal"/>
        <w:rPr>
          <w:b/>
        </w:rPr>
      </w:pPr>
      <w:r>
        <w:rPr>
          <w:b/>
        </w:rPr>
      </w:r>
    </w:p>
    <w:p>
      <w:pPr>
        <w:pStyle w:val="Normal"/>
        <w:pBdr/>
        <w:shd w:fill="FFFFFF" w:val="clear"/>
        <w:jc w:val="center"/>
        <w:rPr>
          <w:b/>
          <w:i/>
          <w:i/>
          <w:color w:val="000000"/>
        </w:rPr>
      </w:pPr>
      <w:r>
        <w:rPr>
          <w:b/>
          <w:i/>
          <w:color w:val="000000"/>
        </w:rPr>
        <w:t>Симдянова М.А.</w:t>
      </w:r>
    </w:p>
    <w:p>
      <w:pPr>
        <w:pStyle w:val="Normal"/>
        <w:pBdr/>
        <w:shd w:fill="FFFFFF" w:val="clear"/>
        <w:jc w:val="center"/>
        <w:rPr>
          <w:color w:val="000000"/>
        </w:rPr>
      </w:pPr>
      <w:r>
        <w:rPr>
          <w:i/>
          <w:color w:val="000000"/>
        </w:rPr>
        <w:t>Студент,2 курса магистратуры</w:t>
      </w:r>
    </w:p>
    <w:p>
      <w:pPr>
        <w:pStyle w:val="Normal"/>
        <w:pBdr/>
        <w:shd w:fill="FFFFFF" w:val="clear"/>
        <w:jc w:val="center"/>
        <w:rPr>
          <w:color w:val="000000"/>
        </w:rPr>
      </w:pPr>
      <w:r>
        <w:rPr>
          <w:i/>
          <w:color w:val="000000"/>
        </w:rPr>
        <w:t>Московский государственный университет имени М.В. Ломоносова, </w:t>
      </w:r>
    </w:p>
    <w:p>
      <w:pPr>
        <w:pStyle w:val="Normal"/>
        <w:pBdr/>
        <w:shd w:fill="FFFFFF" w:val="clear"/>
        <w:jc w:val="center"/>
        <w:rPr>
          <w:color w:val="000000"/>
        </w:rPr>
      </w:pPr>
      <w:r>
        <w:rPr>
          <w:i/>
          <w:color w:val="000000"/>
        </w:rPr>
        <w:t>физический факультет, Москва, Россия</w:t>
      </w:r>
    </w:p>
    <w:p>
      <w:pPr>
        <w:pStyle w:val="Normal"/>
        <w:pBdr/>
        <w:shd w:fill="FFFFFF" w:val="clear"/>
        <w:jc w:val="center"/>
        <w:rPr>
          <w:color w:val="000000"/>
          <w:lang w:val="en-US"/>
        </w:rPr>
      </w:pPr>
      <w:r>
        <w:rPr>
          <w:i/>
          <w:color w:val="000000"/>
          <w:lang w:val="en-US"/>
        </w:rPr>
        <w:t xml:space="preserve">E-mail: </w:t>
      </w:r>
      <w:hyperlink r:id="rId2">
        <w:r>
          <w:rPr>
            <w:rStyle w:val="Hyperlink"/>
            <w:i/>
            <w:lang w:val="en-US"/>
          </w:rPr>
          <w:t>marina.simdyanova@mail.ru</w:t>
        </w:r>
      </w:hyperlink>
    </w:p>
    <w:p>
      <w:pPr>
        <w:pStyle w:val="Normal"/>
        <w:ind w:firstLine="284" w:right="0"/>
        <w:jc w:val="both"/>
        <w:rPr>
          <w:color w:val="000000"/>
          <w:lang w:val="en-US"/>
        </w:rPr>
      </w:pPr>
      <w:r>
        <w:rPr>
          <w:color w:val="000000"/>
          <w:lang w:val="en-US"/>
        </w:rPr>
      </w:r>
    </w:p>
    <w:p>
      <w:pPr>
        <w:pStyle w:val="Normal"/>
        <w:ind w:firstLine="284" w:right="0"/>
        <w:jc w:val="both"/>
        <w:rPr/>
      </w:pPr>
      <w:r>
        <w:rPr>
          <w:color w:val="000000"/>
        </w:rPr>
        <w:t xml:space="preserve">Магнитные нанокомпозиты “ферромагнитный металл-диэлектрик” состоят из ферромагнитных металлических частиц наноразмера , встроенных в парамагнитную или диамагнитную изолирующую матрицу. Они обладают многочисленными магнитными, транспортными, оптическими и магнитооптическими свойствами, перспективными для практического применения, в частности для магнитных и магнитооптических сенсоров, высокочастотных устройств. Магнитооптическая спектроскопия, основанная на измерениях экваториального или поперечного эффекта Керра  (ТКЕ)  позволяет </w:t>
      </w:r>
      <w:r>
        <w:rPr/>
        <w:t>бесконтактно  и в процессе напыления  тонкопленочных образцов получать информацию об их электронной, кристаллической  и  магнитной микроструктуре [1]</w:t>
      </w:r>
      <w:r>
        <w:rPr>
          <w:color w:val="000000"/>
        </w:rPr>
        <w:t>. Вид</w:t>
      </w:r>
      <w:r>
        <w:rPr/>
        <w:t xml:space="preserve"> полевых зависимостей и спектральные зависимости ТКЕ чувствительны к размеру и форме гранул, а также к другим микроскопическим параметрам, таких как длина свободного пробега, плазменная частота, время релаксации, коэффициенты аномального эффекта Холла внутри гранулы, а также на его поверхности, форме гранул и т.д. С одной стороны, это затрудняет интерпретацию спектров, а с другой стороны не позволяет определить состояние поверхности гранул и определить значения микроскопических параметров. </w:t>
      </w:r>
    </w:p>
    <w:p>
      <w:pPr>
        <w:pStyle w:val="Normal"/>
        <w:ind w:firstLine="284" w:right="0"/>
        <w:jc w:val="both"/>
        <w:rPr/>
      </w:pPr>
      <w:r>
        <w:rPr/>
        <w:t>В данной работе в рамках метода эффективной среды Бруггемана [2-4] на примере нанокомпозитов Co</w:t>
      </w:r>
      <w:r>
        <w:rPr>
          <w:vertAlign w:val="subscript"/>
          <w:lang w:val="en-US"/>
        </w:rPr>
        <w:t>x</w:t>
      </w:r>
      <w:r>
        <w:rPr/>
        <w:t>(SiO</w:t>
      </w:r>
      <w:r>
        <w:rPr>
          <w:vertAlign w:val="subscript"/>
        </w:rPr>
        <w:t>2</w:t>
      </w:r>
      <w:r>
        <w:rPr/>
        <w:t>)</w:t>
      </w:r>
      <w:r>
        <w:rPr>
          <w:vertAlign w:val="subscript"/>
        </w:rPr>
        <w:t>100-</w:t>
      </w:r>
      <w:r>
        <w:rPr>
          <w:vertAlign w:val="subscript"/>
          <w:lang w:val="en-US"/>
        </w:rPr>
        <w:t>x</w:t>
      </w:r>
      <w:r>
        <w:rPr>
          <w:vertAlign w:val="subscript"/>
        </w:rPr>
        <w:t xml:space="preserve"> </w:t>
      </w:r>
      <w:r>
        <w:rPr/>
        <w:t>и</w:t>
      </w:r>
      <w:r>
        <w:rPr>
          <w:vertAlign w:val="subscript"/>
        </w:rPr>
        <w:t xml:space="preserve"> </w:t>
      </w:r>
      <w:r>
        <w:rPr/>
        <w:t>Co</w:t>
      </w:r>
      <w:r>
        <w:rPr>
          <w:vertAlign w:val="subscript"/>
          <w:lang w:val="en-US"/>
        </w:rPr>
        <w:t>x</w:t>
      </w:r>
      <w:r>
        <w:rPr/>
        <w:t>(</w:t>
      </w:r>
      <w:r>
        <w:rPr>
          <w:lang w:val="en-US"/>
        </w:rPr>
        <w:t>Al</w:t>
      </w:r>
      <w:r>
        <w:rPr>
          <w:vertAlign w:val="subscript"/>
        </w:rPr>
        <w:t>2</w:t>
      </w:r>
      <w:r>
        <w:rPr/>
        <w:t>O</w:t>
      </w:r>
      <w:r>
        <w:rPr>
          <w:vertAlign w:val="subscript"/>
        </w:rPr>
        <w:t>3</w:t>
      </w:r>
      <w:r>
        <w:rPr/>
        <w:t>)</w:t>
      </w:r>
      <w:r>
        <w:rPr>
          <w:vertAlign w:val="subscript"/>
        </w:rPr>
        <w:t>100-</w:t>
      </w:r>
      <w:r>
        <w:rPr>
          <w:vertAlign w:val="subscript"/>
          <w:lang w:val="en-US"/>
        </w:rPr>
        <w:t>x</w:t>
      </w:r>
      <w:r>
        <w:rPr>
          <w:b/>
          <w:vertAlign w:val="subscript"/>
        </w:rPr>
        <w:t xml:space="preserve"> </w:t>
      </w:r>
      <w:r>
        <w:rPr/>
        <w:t xml:space="preserve">исследуется влияние каждого из перечисленных факторов на профиль спектра ТКЕ, величину сигнала в видимой и ближней ИК-области спектра при вариации концентрационного состава и размера гранул, формы гранул и размера поверхностного слоя гранул. </w:t>
      </w:r>
    </w:p>
    <w:p>
      <w:pPr>
        <w:pStyle w:val="Normal"/>
        <w:jc w:val="both"/>
        <w:rPr/>
      </w:pPr>
      <w:r>
        <w:rPr/>
      </w:r>
    </w:p>
    <w:p>
      <w:pPr>
        <w:pStyle w:val="Normal"/>
        <w:ind w:firstLine="284" w:right="0"/>
        <w:jc w:val="both"/>
        <w:rPr/>
      </w:pPr>
      <w:r>
        <w:rPr/>
        <w:t xml:space="preserve">Разработанная программа позволяет выявить влияние каждого параметра на спектр ТКЕ, описать имеющиеся экспериментальные данные, определить значение коэффициента аномального эффекта Холла на поверхности гранул, что недоступно другими методами. Полученные данные также позволят вести целенаправленный поиск составов с усиленным ТКЕ для контроля микроструктуры нанокомпозитов при их изготовлении. </w:t>
      </w:r>
    </w:p>
    <w:p>
      <w:pPr>
        <w:pStyle w:val="Normal"/>
        <w:ind w:firstLine="284" w:right="0"/>
        <w:jc w:val="both"/>
        <w:rPr/>
      </w:pPr>
      <w:r>
        <w:rPr/>
      </w:r>
    </w:p>
    <w:p>
      <w:pPr>
        <w:pStyle w:val="Normal"/>
        <w:pBdr/>
        <w:shd w:fill="FFFFFF" w:val="clear"/>
        <w:jc w:val="center"/>
        <w:rPr>
          <w:b/>
          <w:color w:val="000000"/>
        </w:rPr>
      </w:pPr>
      <w:r>
        <w:rPr>
          <w:b/>
          <w:color w:val="000000"/>
        </w:rPr>
      </w:r>
    </w:p>
    <w:p>
      <w:pPr>
        <w:pStyle w:val="Normal"/>
        <w:pBdr/>
        <w:shd w:fill="FFFFFF" w:val="clear"/>
        <w:jc w:val="center"/>
        <w:rPr>
          <w:b/>
          <w:color w:val="000000"/>
          <w:lang w:val="en-US"/>
        </w:rPr>
      </w:pPr>
      <w:r>
        <w:rPr>
          <w:b/>
          <w:color w:val="000000"/>
        </w:rPr>
        <w:t>Литература</w:t>
      </w:r>
    </w:p>
    <w:p>
      <w:pPr>
        <w:pStyle w:val="Normal"/>
        <w:numPr>
          <w:ilvl w:val="0"/>
          <w:numId w:val="2"/>
        </w:numPr>
        <w:autoSpaceDE w:val="false"/>
        <w:spacing w:lineRule="auto" w:line="360"/>
        <w:jc w:val="both"/>
        <w:rPr>
          <w:color w:val="000000"/>
        </w:rPr>
      </w:pPr>
      <w:r>
        <w:rPr>
          <w:color w:val="000000"/>
          <w:lang w:eastAsia="fi-FI"/>
        </w:rPr>
        <w:t xml:space="preserve">Е.А. </w:t>
      </w:r>
      <w:hyperlink r:id="rId3">
        <w:r>
          <w:rPr>
            <w:rStyle w:val="Hyperlink"/>
            <w:color w:val="000000"/>
          </w:rPr>
          <w:t>Ганьшина</w:t>
        </w:r>
      </w:hyperlink>
      <w:r>
        <w:rPr>
          <w:color w:val="000000"/>
        </w:rPr>
        <w:t xml:space="preserve">, В.В. Гаршин, Н.Н. Перова  и др. ЖЭТФ </w:t>
      </w:r>
      <w:r>
        <w:rPr>
          <w:b/>
          <w:color w:val="000000"/>
        </w:rPr>
        <w:t>164</w:t>
      </w:r>
      <w:r>
        <w:rPr>
          <w:color w:val="000000"/>
          <w:lang w:val="en-US"/>
        </w:rPr>
        <w:t>,</w:t>
      </w:r>
      <w:r>
        <w:rPr>
          <w:color w:val="000000"/>
        </w:rPr>
        <w:t xml:space="preserve"> 662 (2023) </w:t>
      </w:r>
    </w:p>
    <w:p>
      <w:pPr>
        <w:pStyle w:val="Normal"/>
        <w:numPr>
          <w:ilvl w:val="0"/>
          <w:numId w:val="2"/>
        </w:numPr>
        <w:autoSpaceDE w:val="false"/>
        <w:spacing w:lineRule="auto" w:line="360"/>
        <w:jc w:val="both"/>
        <w:rPr>
          <w:color w:val="000000"/>
        </w:rPr>
      </w:pPr>
      <w:r>
        <w:rPr>
          <w:color w:val="000000"/>
        </w:rPr>
        <w:t xml:space="preserve">Е.А. Ганьшина, М.В. </w:t>
      </w:r>
      <w:hyperlink r:id="rId4">
        <w:r>
          <w:rPr>
            <w:rStyle w:val="Hyperlink"/>
            <w:color w:val="000000"/>
          </w:rPr>
          <w:t>Вашук</w:t>
        </w:r>
      </w:hyperlink>
      <w:r>
        <w:rPr>
          <w:color w:val="000000"/>
        </w:rPr>
        <w:t xml:space="preserve">, А.Н. </w:t>
      </w:r>
      <w:hyperlink r:id="rId5">
        <w:r>
          <w:rPr>
            <w:rStyle w:val="Hyperlink"/>
            <w:color w:val="000000"/>
          </w:rPr>
          <w:t>Виноградов</w:t>
        </w:r>
      </w:hyperlink>
      <w:r>
        <w:rPr>
          <w:rStyle w:val="Hyperlink"/>
          <w:color w:val="000000"/>
        </w:rPr>
        <w:t xml:space="preserve"> и др.</w:t>
      </w:r>
      <w:r>
        <w:rPr>
          <w:color w:val="000000"/>
        </w:rPr>
        <w:t xml:space="preserve"> ЖЭТФ </w:t>
      </w:r>
      <w:r>
        <w:rPr>
          <w:b/>
          <w:color w:val="000000"/>
        </w:rPr>
        <w:t>125</w:t>
      </w:r>
      <w:r>
        <w:rPr>
          <w:color w:val="000000"/>
        </w:rPr>
        <w:t>, 1172     (2004).</w:t>
      </w:r>
    </w:p>
    <w:p>
      <w:pPr>
        <w:pStyle w:val="Reference"/>
        <w:numPr>
          <w:ilvl w:val="0"/>
          <w:numId w:val="2"/>
        </w:numPr>
        <w:rPr/>
      </w:pPr>
      <w:r>
        <w:rPr/>
        <w:t>А.Б. Грановский, М.В. Кузьмичев, А.Н. Юрасов,  Вестник МГУ. Сер. Физика. Астрономия, . № 6, 67 (2000).</w:t>
      </w:r>
    </w:p>
    <w:p>
      <w:pPr>
        <w:pStyle w:val="Reference"/>
        <w:numPr>
          <w:ilvl w:val="0"/>
          <w:numId w:val="2"/>
        </w:numPr>
        <w:rPr>
          <w:lang w:val="en-US"/>
        </w:rPr>
      </w:pPr>
      <w:r>
        <w:rPr>
          <w:lang w:val="en-US"/>
        </w:rPr>
        <w:t>M.A. Simdyanova, A.N. Yurasov, M.M. Yashin et al. J. Magn.Magn. Mater. 2024 (accepted ).</w:t>
      </w:r>
    </w:p>
    <w:p>
      <w:pPr>
        <w:pStyle w:val="Reference"/>
        <w:ind w:left="720" w:right="0"/>
        <w:rPr>
          <w:lang w:val="en-US"/>
        </w:rPr>
      </w:pPr>
      <w:r>
        <w:rPr>
          <w:lang w:val="en-US"/>
        </w:rPr>
      </w:r>
    </w:p>
    <w:p>
      <w:pPr>
        <w:pStyle w:val="Normal"/>
        <w:ind w:left="720" w:right="0"/>
        <w:rPr>
          <w:color w:val="000000"/>
        </w:rPr>
      </w:pPr>
      <w:r>
        <w:rPr/>
        <w:t xml:space="preserve">. </w:t>
      </w:r>
    </w:p>
    <w:p>
      <w:pPr>
        <w:pStyle w:val="Reference"/>
        <w:ind w:left="720" w:right="0"/>
        <w:rPr>
          <w:color w:val="000000"/>
        </w:rPr>
      </w:pPr>
      <w:r>
        <w:rPr>
          <w:color w:val="000000"/>
        </w:rPr>
      </w:r>
    </w:p>
    <w:p>
      <w:pPr>
        <w:pStyle w:val="Style13"/>
        <w:rPr>
          <w:color w:val="000000"/>
        </w:rPr>
      </w:pPr>
      <w:r>
        <w:rPr>
          <w:color w:val="000000"/>
        </w:rPr>
      </w:r>
    </w:p>
    <w:sectPr>
      <w:type w:val="nextPage"/>
      <w:pgSz w:w="11906" w:h="16838"/>
      <w:pgMar w:left="1361" w:right="1361" w:gutter="0" w:header="0" w:top="1134" w:footer="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Georgia">
    <w:charset w:val="cc"/>
    <w:family w:val="roman"/>
    <w:pitch w:val="variable"/>
  </w:font>
  <w:font w:name="Calibri">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style>
  <w:style w:type="character" w:styleId="Style8">
    <w:name w:val="Основной шрифт абзаца"/>
    <w:qFormat/>
    <w:rPr/>
  </w:style>
  <w:style w:type="character" w:styleId="Style9">
    <w:name w:val="Абзац списка Знак"/>
    <w:basedOn w:val="Style8"/>
    <w:qFormat/>
    <w:rPr/>
  </w:style>
  <w:style w:type="character" w:styleId="Style10">
    <w:name w:val="Замещающий текст"/>
    <w:qFormat/>
    <w:rPr>
      <w:color w:val="808080"/>
    </w:rPr>
  </w:style>
  <w:style w:type="character" w:styleId="Hyperlink">
    <w:name w:val="Hyperlink"/>
    <w:rPr>
      <w:color w:val="0000FF"/>
      <w:u w:val="single"/>
    </w:rPr>
  </w:style>
  <w:style w:type="character" w:styleId="UnresolvedMention">
    <w:name w:val="Unresolved Mention"/>
    <w:qFormat/>
    <w:rPr>
      <w:color w:val="605E5C"/>
      <w:shd w:fill="E1DFDD" w:val="clear"/>
    </w:rPr>
  </w:style>
  <w:style w:type="paragraph" w:styleId="Heading">
    <w:name w:val="Heading"/>
    <w:basedOn w:val="Normal"/>
    <w:next w:val="Normal"/>
    <w:qFormat/>
    <w:pPr>
      <w:keepNext w:val="true"/>
      <w:keepLines/>
      <w:spacing w:before="480" w:after="120"/>
    </w:pPr>
    <w:rPr>
      <w:b/>
      <w:sz w:val="72"/>
      <w:szCs w:val="72"/>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Style11">
    <w:name w:val="Абзац списка"/>
    <w:basedOn w:val="Normal"/>
    <w:qFormat/>
    <w:pPr>
      <w:spacing w:before="0" w:after="0"/>
      <w:ind w:hanging="0" w:left="720" w:right="0"/>
      <w:contextualSpacing/>
    </w:pPr>
    <w:rPr/>
  </w:style>
  <w:style w:type="paragraph" w:styleId="Style12">
    <w:name w:val="Без интервала"/>
    <w:qFormat/>
    <w:pPr>
      <w:widowControl/>
      <w:bidi w:val="0"/>
    </w:pPr>
    <w:rPr>
      <w:rFonts w:ascii="Calibri" w:hAnsi="Calibri" w:eastAsia="Calibri" w:cs="Times New Roman"/>
      <w:color w:val="auto"/>
      <w:sz w:val="22"/>
      <w:szCs w:val="22"/>
      <w:lang w:val="en-US" w:bidi="en-US" w:eastAsia="zh-CN"/>
    </w:rPr>
  </w:style>
  <w:style w:type="paragraph" w:styleId="Style13">
    <w:name w:val="Список литературы"/>
    <w:basedOn w:val="Normal"/>
    <w:next w:val="Normal"/>
    <w:qFormat/>
    <w:pPr>
      <w:ind w:hanging="264" w:left="264" w:right="0"/>
    </w:pPr>
    <w:rPr/>
  </w:style>
  <w:style w:type="paragraph" w:styleId="Reference">
    <w:name w:val="Reference"/>
    <w:qFormat/>
    <w:pPr>
      <w:widowControl/>
      <w:bidi w:val="0"/>
      <w:spacing w:lineRule="auto" w:line="360"/>
      <w:jc w:val="both"/>
    </w:pPr>
    <w:rPr>
      <w:rFonts w:ascii="Times New Roman" w:hAnsi="Times New Roman" w:eastAsia="SFRM0900;MS Mincho" w:cs="Times New Roman"/>
      <w:color w:val="auto"/>
      <w:sz w:val="24"/>
      <w:szCs w:val="24"/>
      <w:lang w:val="ru-RU"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ina.simdyanova@mail.ru" TargetMode="External"/><Relationship Id="rId3" Type="http://schemas.openxmlformats.org/officeDocument/2006/relationships/hyperlink" Target="http://www.jetp.ac.ru/cgi-bin/r/index?a=s&amp;auid=6908" TargetMode="External"/><Relationship Id="rId4" Type="http://schemas.openxmlformats.org/officeDocument/2006/relationships/hyperlink" Target="http://www.jetp.ac.ru/cgi-bin/r/index?a=s&amp;auid=11465" TargetMode="External"/><Relationship Id="rId5" Type="http://schemas.openxmlformats.org/officeDocument/2006/relationships/hyperlink" Target="http://www.jetp.ac.ru/cgi-bin/r/index?a=s&amp;auid=11466"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2024-02-26T12:19:00Z</dcterms:created>
  <dc:creator>alkom</dc:creator>
  <dc:description/>
  <cp:keywords/>
  <dc:language>en-US</dc:language>
  <cp:lastModifiedBy>Marina</cp:lastModifiedBy>
  <dcterms:modified xsi:type="dcterms:W3CDTF">2024-02-26T12:19:00Z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http://www.zotero.org/styles/gost-r-7-0-5-2008-numeric</vt:lpwstr>
  </property>
  <property fmtid="{D5CDD505-2E9C-101B-9397-08002B2CF9AE}" pid="3" name="Mendeley Document_1">
    <vt:lpwstr>True</vt:lpwstr>
  </property>
  <property fmtid="{D5CDD505-2E9C-101B-9397-08002B2CF9AE}" pid="4" name="Mendeley Recent Style Id 0_1">
    <vt:lpwstr>http://www.zotero.org/styles/chicago-author-date</vt:lpwstr>
  </property>
  <property fmtid="{D5CDD505-2E9C-101B-9397-08002B2CF9AE}" pid="5" name="Mendeley Recent Style Id 1_1">
    <vt:lpwstr>http://www.zotero.org/styles/harvard-cite-them-right</vt:lpwstr>
  </property>
  <property fmtid="{D5CDD505-2E9C-101B-9397-08002B2CF9AE}" pid="6" name="Mendeley Recent Style Id 2_1">
    <vt:lpwstr>http://www.zotero.org/styles/ieee</vt:lpwstr>
  </property>
  <property fmtid="{D5CDD505-2E9C-101B-9397-08002B2CF9AE}" pid="7" name="Mendeley Recent Style Id 3_1">
    <vt:lpwstr>http://www.zotero.org/styles/modern-humanities-research-association</vt:lpwstr>
  </property>
  <property fmtid="{D5CDD505-2E9C-101B-9397-08002B2CF9AE}" pid="8" name="Mendeley Recent Style Id 4_1">
    <vt:lpwstr>http://www.zotero.org/styles/modern-language-association</vt:lpwstr>
  </property>
  <property fmtid="{D5CDD505-2E9C-101B-9397-08002B2CF9AE}" pid="9" name="Mendeley Recent Style Id 5_1">
    <vt:lpwstr>http://www.zotero.org/styles/nature</vt:lpwstr>
  </property>
  <property fmtid="{D5CDD505-2E9C-101B-9397-08002B2CF9AE}" pid="10" name="Mendeley Recent Style Id 6_1">
    <vt:lpwstr>http://www.zotero.org/styles/russian-chemical-reviews</vt:lpwstr>
  </property>
  <property fmtid="{D5CDD505-2E9C-101B-9397-08002B2CF9AE}" pid="11" name="Mendeley Recent Style Id 7_1">
    <vt:lpwstr>http://www.zotero.org/styles/gost-r-7-0-5-2008</vt:lpwstr>
  </property>
  <property fmtid="{D5CDD505-2E9C-101B-9397-08002B2CF9AE}" pid="12" name="Mendeley Recent Style Id 8_1">
    <vt:lpwstr>http://www.zotero.org/styles/gost-r-7-0-5-2008-numeric</vt:lpwstr>
  </property>
  <property fmtid="{D5CDD505-2E9C-101B-9397-08002B2CF9AE}" pid="13" name="Mendeley Recent Style Id 9_1">
    <vt:lpwstr>http://csl.mendeley.com/styles/7762213/gost-r-7-0-5-2008-numeric-3</vt:lpwstr>
  </property>
  <property fmtid="{D5CDD505-2E9C-101B-9397-08002B2CF9AE}" pid="14" name="Mendeley Recent Style Name 0_1">
    <vt:lpwstr>Chicago Manual of Style 17th edition (author-date)</vt:lpwstr>
  </property>
  <property fmtid="{D5CDD505-2E9C-101B-9397-08002B2CF9AE}" pid="15" name="Mendeley Recent Style Name 1_1">
    <vt:lpwstr>Cite Them Right 10th edition - Harvard</vt:lpwstr>
  </property>
  <property fmtid="{D5CDD505-2E9C-101B-9397-08002B2CF9AE}" pid="16" name="Mendeley Recent Style Name 2_1">
    <vt:lpwstr>IEEE</vt:lpwstr>
  </property>
  <property fmtid="{D5CDD505-2E9C-101B-9397-08002B2CF9AE}" pid="17" name="Mendeley Recent Style Name 3_1">
    <vt:lpwstr>Modern Humanities Research Association 3rd edition (note with bibliography)</vt:lpwstr>
  </property>
  <property fmtid="{D5CDD505-2E9C-101B-9397-08002B2CF9AE}" pid="18" name="Mendeley Recent Style Name 4_1">
    <vt:lpwstr>Modern Language Association 8th edition</vt:lpwstr>
  </property>
  <property fmtid="{D5CDD505-2E9C-101B-9397-08002B2CF9AE}" pid="19" name="Mendeley Recent Style Name 5_1">
    <vt:lpwstr>Nature</vt:lpwstr>
  </property>
  <property fmtid="{D5CDD505-2E9C-101B-9397-08002B2CF9AE}" pid="20" name="Mendeley Recent Style Name 6_1">
    <vt:lpwstr>Russian Chemical Reviews</vt:lpwstr>
  </property>
  <property fmtid="{D5CDD505-2E9C-101B-9397-08002B2CF9AE}" pid="21" name="Mendeley Recent Style Name 7_1">
    <vt:lpwstr>Russian GOST R 7.0.5-2008 (Russian)</vt:lpwstr>
  </property>
  <property fmtid="{D5CDD505-2E9C-101B-9397-08002B2CF9AE}" pid="22" name="Mendeley Recent Style Name 8_1">
    <vt:lpwstr>Russian GOST R 7.0.5-2008 (numeric)</vt:lpwstr>
  </property>
  <property fmtid="{D5CDD505-2E9C-101B-9397-08002B2CF9AE}" pid="23" name="Mendeley Recent Style Name 9_1">
    <vt:lpwstr>Russian GOST R 7.0.5-2008 (numeric) - Alexander Dzuban</vt:lpwstr>
  </property>
  <property fmtid="{D5CDD505-2E9C-101B-9397-08002B2CF9AE}" pid="24" name="Mendeley Unique User Id_1">
    <vt:lpwstr>b09b180f-15e6-39a8-8e02-e401af1d2283</vt:lpwstr>
  </property>
  <property fmtid="{D5CDD505-2E9C-101B-9397-08002B2CF9AE}" pid="25" name="ZOTERO_PREF_1">
    <vt:lpwstr>&lt;data data-version="3" zotero-version="5.0.96.3"&gt;&lt;session id="oa3JzG6v"/&gt;&lt;style id="http://www.zotero.org/styles/gost-r-7-0-5-2008-numeric" hasBibliography="1" bibliographyStyleHasBeenSet="1"/&gt;&lt;prefs&gt;&lt;pref name="fieldType" value="Field"/&gt;&lt;/prefs&gt;&lt;/data&gt;</vt:lpwstr>
  </property>
</Properties>
</file>