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1AC6" w14:textId="65284623" w:rsidR="00CB2D45" w:rsidRPr="00CB2D45" w:rsidRDefault="00CB2D45" w:rsidP="008A21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Перемагничивание атомных цепочек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</w:t>
      </w:r>
      <w:r w:rsidRPr="00CB2D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поверхности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Pt</w:t>
      </w:r>
      <w:r w:rsidRPr="00CB2D45">
        <w:rPr>
          <w:rFonts w:ascii="Times New Roman" w:hAnsi="Times New Roman" w:cs="Times New Roman"/>
          <w:b/>
          <w:sz w:val="24"/>
          <w:szCs w:val="24"/>
        </w:rPr>
        <w:t>(664)</w:t>
      </w:r>
      <w:r>
        <w:rPr>
          <w:rFonts w:ascii="Times New Roman" w:hAnsi="Times New Roman" w:cs="Times New Roman"/>
          <w:b/>
          <w:sz w:val="24"/>
          <w:szCs w:val="24"/>
        </w:rPr>
        <w:t xml:space="preserve"> с учётом зависимост</w:t>
      </w:r>
      <w:r w:rsidR="000A0343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частотных префакторов от длины цепочки</w:t>
      </w:r>
    </w:p>
    <w:p w14:paraId="276950DF" w14:textId="482A8B19" w:rsidR="008A215E" w:rsidRDefault="008A215E" w:rsidP="008A215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Сапронова Е.С.</w:t>
      </w:r>
    </w:p>
    <w:p w14:paraId="0E503562" w14:textId="77777777" w:rsidR="008A215E" w:rsidRDefault="008A215E" w:rsidP="008A215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361CB72F" w14:textId="77777777" w:rsidR="008A215E" w:rsidRDefault="008A215E" w:rsidP="008A215E">
      <w:pPr>
        <w:pStyle w:val="a3"/>
        <w:shd w:val="clear" w:color="auto" w:fill="FFFFFF"/>
        <w:spacing w:before="0" w:beforeAutospacing="0" w:after="150" w:afterAutospacing="0" w:line="420" w:lineRule="atLeast"/>
        <w:jc w:val="center"/>
      </w:pPr>
      <w:r>
        <w:rPr>
          <w:rStyle w:val="a4"/>
        </w:rPr>
        <w:t>Московский государственный университет имени М.В.Ломоносова, </w:t>
      </w:r>
    </w:p>
    <w:p w14:paraId="06AC63F7" w14:textId="77777777" w:rsidR="008A215E" w:rsidRDefault="008A215E" w:rsidP="008A215E">
      <w:pPr>
        <w:pStyle w:val="a3"/>
        <w:shd w:val="clear" w:color="auto" w:fill="FFFFFF"/>
        <w:spacing w:before="0" w:beforeAutospacing="0" w:after="150" w:afterAutospacing="0" w:line="420" w:lineRule="atLeast"/>
        <w:jc w:val="center"/>
      </w:pPr>
      <w:r>
        <w:rPr>
          <w:rStyle w:val="a4"/>
        </w:rPr>
        <w:t>Физический факультет, Москва, Россия</w:t>
      </w:r>
    </w:p>
    <w:p w14:paraId="1E839EB3" w14:textId="77777777" w:rsidR="008A215E" w:rsidRDefault="008A215E" w:rsidP="008A215E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rStyle w:val="a4"/>
        </w:rPr>
      </w:pPr>
      <w:r>
        <w:rPr>
          <w:rStyle w:val="a4"/>
          <w:lang w:val="en-US"/>
        </w:rPr>
        <w:t>E</w:t>
      </w:r>
      <w:r>
        <w:rPr>
          <w:rStyle w:val="a4"/>
        </w:rPr>
        <w:t>–</w:t>
      </w:r>
      <w:r>
        <w:rPr>
          <w:rStyle w:val="a4"/>
          <w:lang w:val="en-US"/>
        </w:rPr>
        <w:t>mail</w:t>
      </w:r>
      <w:r>
        <w:rPr>
          <w:rStyle w:val="a4"/>
        </w:rPr>
        <w:t xml:space="preserve">: </w:t>
      </w:r>
      <w:r>
        <w:rPr>
          <w:rStyle w:val="a4"/>
          <w:lang w:val="en-US"/>
        </w:rPr>
        <w:t>sapronova</w:t>
      </w:r>
      <w:r>
        <w:rPr>
          <w:rStyle w:val="a4"/>
        </w:rPr>
        <w:t>.</w:t>
      </w:r>
      <w:r>
        <w:rPr>
          <w:rStyle w:val="a4"/>
          <w:lang w:val="en-US"/>
        </w:rPr>
        <w:t>es</w:t>
      </w:r>
      <w:r>
        <w:rPr>
          <w:rStyle w:val="a4"/>
        </w:rPr>
        <w:t>18@</w:t>
      </w:r>
      <w:r>
        <w:rPr>
          <w:rStyle w:val="a4"/>
          <w:lang w:val="en-US"/>
        </w:rPr>
        <w:t>physics</w:t>
      </w:r>
      <w:r>
        <w:rPr>
          <w:rStyle w:val="a4"/>
        </w:rPr>
        <w:t>.</w:t>
      </w:r>
      <w:r>
        <w:rPr>
          <w:rStyle w:val="a4"/>
          <w:lang w:val="en-US"/>
        </w:rPr>
        <w:t>msu</w:t>
      </w:r>
      <w:r>
        <w:rPr>
          <w:rStyle w:val="a4"/>
        </w:rPr>
        <w:t>.</w:t>
      </w:r>
      <w:r>
        <w:rPr>
          <w:rStyle w:val="a4"/>
          <w:lang w:val="en-US"/>
        </w:rPr>
        <w:t>ru</w:t>
      </w:r>
    </w:p>
    <w:p w14:paraId="037C9E0F" w14:textId="62E6E950" w:rsidR="003409CF" w:rsidRDefault="00B12253" w:rsidP="00032A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8A2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никальные свойства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атомных цепочек</w:t>
      </w:r>
      <w:r w:rsidR="008A2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делают их перспективными для создания новых материалов и устройств. Благодаря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этим</w:t>
      </w:r>
      <w:r w:rsidR="008A2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свойствам атомные цепочки имеют широкий спектр </w:t>
      </w:r>
      <w:r w:rsidR="0083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потенциальных применений в таких областях, как наноэлектроника, </w:t>
      </w:r>
      <w:r w:rsidR="00393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квантовые компьютеры</w:t>
      </w:r>
      <w:r w:rsidR="001E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393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квантовые коммуникации.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662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ткрыти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662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6239F">
        <w:rPr>
          <w:rFonts w:ascii="Times New Roman" w:hAnsi="Times New Roman" w:cs="Times New Roman"/>
          <w:sz w:val="24"/>
          <w:szCs w:val="24"/>
        </w:rPr>
        <w:t>гигантской энергии магнитной анизотропии цепочек из Co на поверхности Pt(997)</w:t>
      </w:r>
      <w:r w:rsidR="00D40CA1" w:rsidRPr="00D40CA1">
        <w:rPr>
          <w:rFonts w:ascii="Times New Roman" w:hAnsi="Times New Roman" w:cs="Times New Roman"/>
          <w:sz w:val="24"/>
          <w:szCs w:val="24"/>
        </w:rPr>
        <w:t>[</w:t>
      </w:r>
      <w:r w:rsidR="00032A6F">
        <w:rPr>
          <w:rFonts w:ascii="Times New Roman" w:hAnsi="Times New Roman" w:cs="Times New Roman"/>
          <w:sz w:val="24"/>
          <w:szCs w:val="24"/>
        </w:rPr>
        <w:t>4</w:t>
      </w:r>
      <w:r w:rsidR="00D40CA1" w:rsidRPr="00D40CA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повлекло за собой большой интерес к изучению подобных наноструктур.</w:t>
      </w:r>
      <w:r w:rsidR="0066239F">
        <w:rPr>
          <w:rFonts w:ascii="Times New Roman" w:hAnsi="Times New Roman" w:cs="Times New Roman"/>
          <w:sz w:val="24"/>
          <w:szCs w:val="24"/>
        </w:rPr>
        <w:t xml:space="preserve"> </w:t>
      </w:r>
      <w:r w:rsidR="00456AD8">
        <w:rPr>
          <w:rFonts w:ascii="Times New Roman" w:hAnsi="Times New Roman" w:cs="Times New Roman"/>
          <w:sz w:val="24"/>
          <w:szCs w:val="24"/>
        </w:rPr>
        <w:t xml:space="preserve">Кроме того, способность к самоорганизации </w:t>
      </w:r>
      <w:r w:rsidR="00612C90">
        <w:rPr>
          <w:rFonts w:ascii="Times New Roman" w:hAnsi="Times New Roman" w:cs="Times New Roman"/>
          <w:sz w:val="24"/>
          <w:szCs w:val="24"/>
        </w:rPr>
        <w:t xml:space="preserve">этой ферромагнитной </w:t>
      </w:r>
      <w:r w:rsidR="00456AD8">
        <w:rPr>
          <w:rFonts w:ascii="Times New Roman" w:hAnsi="Times New Roman" w:cs="Times New Roman"/>
          <w:sz w:val="24"/>
          <w:szCs w:val="24"/>
        </w:rPr>
        <w:t xml:space="preserve">системы при низких температурах и малых концентрациях атомов Со расширяет </w:t>
      </w:r>
      <w:r w:rsidR="001E30FE">
        <w:rPr>
          <w:rFonts w:ascii="Times New Roman" w:hAnsi="Times New Roman" w:cs="Times New Roman"/>
          <w:sz w:val="24"/>
          <w:szCs w:val="24"/>
        </w:rPr>
        <w:t>круг</w:t>
      </w:r>
      <w:r w:rsidR="00456AD8">
        <w:rPr>
          <w:rFonts w:ascii="Times New Roman" w:hAnsi="Times New Roman" w:cs="Times New Roman"/>
          <w:sz w:val="24"/>
          <w:szCs w:val="24"/>
        </w:rPr>
        <w:t xml:space="preserve"> возможных применений атомных цепочек.</w:t>
      </w:r>
    </w:p>
    <w:p w14:paraId="1109A7DC" w14:textId="7715BA5E" w:rsidR="00456AD8" w:rsidRDefault="00D54007" w:rsidP="00032A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Атомные цепочки </w:t>
      </w:r>
      <w:r w:rsidR="003409CF">
        <w:rPr>
          <w:rFonts w:ascii="Times New Roman" w:hAnsi="Times New Roman" w:cs="Times New Roman"/>
          <w:sz w:val="24"/>
          <w:szCs w:val="24"/>
        </w:rPr>
        <w:t xml:space="preserve">в данной работе </w:t>
      </w:r>
      <w:r>
        <w:rPr>
          <w:rFonts w:ascii="Times New Roman" w:hAnsi="Times New Roman" w:cs="Times New Roman"/>
          <w:sz w:val="24"/>
          <w:szCs w:val="24"/>
        </w:rPr>
        <w:t xml:space="preserve">описывались в рамках классической модели с входящими в неё энергией магнитной анизотропии, обменным взаимодействием, взаимодействием Дзялошинского-Мория и диполь-дипольным взаимодействием. </w:t>
      </w:r>
      <w:r w:rsidR="003409CF" w:rsidRPr="0023757B">
        <w:rPr>
          <w:rFonts w:ascii="Times New Roman" w:hAnsi="Times New Roman"/>
          <w:sz w:val="24"/>
          <w:szCs w:val="24"/>
        </w:rPr>
        <w:t xml:space="preserve">Параметры гамильтониана </w:t>
      </w:r>
      <w:r w:rsidR="009C19CF">
        <w:rPr>
          <w:rFonts w:ascii="Times New Roman" w:hAnsi="Times New Roman"/>
          <w:sz w:val="24"/>
          <w:szCs w:val="24"/>
        </w:rPr>
        <w:t>были взяты из литературы</w:t>
      </w:r>
      <w:r w:rsidR="00944831">
        <w:rPr>
          <w:rFonts w:ascii="Times New Roman" w:hAnsi="Times New Roman"/>
          <w:sz w:val="24"/>
          <w:szCs w:val="24"/>
        </w:rPr>
        <w:t xml:space="preserve"> </w:t>
      </w:r>
      <w:r w:rsidR="0065481E" w:rsidRPr="0065481E">
        <w:rPr>
          <w:rFonts w:ascii="Times New Roman" w:hAnsi="Times New Roman"/>
          <w:sz w:val="24"/>
          <w:szCs w:val="24"/>
        </w:rPr>
        <w:t>[</w:t>
      </w:r>
      <w:r w:rsidR="00944831">
        <w:rPr>
          <w:rFonts w:ascii="Times New Roman" w:hAnsi="Times New Roman"/>
          <w:sz w:val="24"/>
          <w:szCs w:val="24"/>
        </w:rPr>
        <w:t>2</w:t>
      </w:r>
      <w:r w:rsidR="0065481E" w:rsidRPr="0065481E">
        <w:rPr>
          <w:rFonts w:ascii="Times New Roman" w:hAnsi="Times New Roman"/>
          <w:sz w:val="24"/>
          <w:szCs w:val="24"/>
        </w:rPr>
        <w:t>]</w:t>
      </w:r>
      <w:r w:rsidR="009C19CF">
        <w:rPr>
          <w:rFonts w:ascii="Times New Roman" w:hAnsi="Times New Roman"/>
          <w:sz w:val="24"/>
          <w:szCs w:val="24"/>
        </w:rPr>
        <w:t xml:space="preserve">, где </w:t>
      </w:r>
      <w:r w:rsidR="003409CF" w:rsidRPr="0023757B">
        <w:rPr>
          <w:rFonts w:ascii="Times New Roman" w:hAnsi="Times New Roman"/>
          <w:sz w:val="24"/>
          <w:szCs w:val="24"/>
        </w:rPr>
        <w:t>рассч</w:t>
      </w:r>
      <w:r w:rsidR="009C19CF">
        <w:rPr>
          <w:rFonts w:ascii="Times New Roman" w:hAnsi="Times New Roman"/>
          <w:sz w:val="24"/>
          <w:szCs w:val="24"/>
        </w:rPr>
        <w:t>итывались</w:t>
      </w:r>
      <w:r w:rsidR="003409CF" w:rsidRPr="0023757B">
        <w:rPr>
          <w:rFonts w:ascii="Times New Roman" w:hAnsi="Times New Roman"/>
          <w:sz w:val="24"/>
          <w:szCs w:val="24"/>
        </w:rPr>
        <w:t xml:space="preserve"> с помощью теории функционала плотности.</w:t>
      </w:r>
      <w:r w:rsidR="003409CF">
        <w:rPr>
          <w:rFonts w:ascii="Times New Roman" w:hAnsi="Times New Roman"/>
          <w:sz w:val="24"/>
          <w:szCs w:val="24"/>
        </w:rPr>
        <w:t xml:space="preserve"> </w:t>
      </w:r>
      <w:r w:rsidR="003409CF">
        <w:rPr>
          <w:rFonts w:ascii="Times New Roman" w:hAnsi="Times New Roman" w:cs="Times New Roman"/>
          <w:sz w:val="24"/>
          <w:szCs w:val="24"/>
        </w:rPr>
        <w:t xml:space="preserve">Для нахождения энергетических барьеров </w:t>
      </w:r>
      <w:r w:rsidR="00C61CA4">
        <w:rPr>
          <w:rFonts w:ascii="Times New Roman" w:hAnsi="Times New Roman" w:cs="Times New Roman"/>
          <w:sz w:val="24"/>
          <w:szCs w:val="24"/>
        </w:rPr>
        <w:t>мы использовали</w:t>
      </w:r>
      <w:r w:rsidR="003409CF">
        <w:rPr>
          <w:rFonts w:ascii="Times New Roman" w:hAnsi="Times New Roman" w:cs="Times New Roman"/>
          <w:sz w:val="24"/>
          <w:szCs w:val="24"/>
        </w:rPr>
        <w:t xml:space="preserve"> геодезический метод подталкивания упругой лентой</w:t>
      </w:r>
      <w:r w:rsidR="00045384">
        <w:rPr>
          <w:rFonts w:ascii="Times New Roman" w:hAnsi="Times New Roman" w:cs="Times New Roman"/>
          <w:sz w:val="24"/>
          <w:szCs w:val="24"/>
        </w:rPr>
        <w:t xml:space="preserve"> </w:t>
      </w:r>
      <w:r w:rsidR="00144724" w:rsidRPr="00144724">
        <w:rPr>
          <w:rFonts w:ascii="Times New Roman" w:hAnsi="Times New Roman" w:cs="Times New Roman"/>
          <w:sz w:val="24"/>
          <w:szCs w:val="24"/>
        </w:rPr>
        <w:t>[</w:t>
      </w:r>
      <w:r w:rsidR="00944831">
        <w:rPr>
          <w:rFonts w:ascii="Times New Roman" w:hAnsi="Times New Roman" w:cs="Times New Roman"/>
          <w:sz w:val="24"/>
          <w:szCs w:val="24"/>
        </w:rPr>
        <w:t>3</w:t>
      </w:r>
      <w:r w:rsidR="00144724" w:rsidRPr="00144724">
        <w:rPr>
          <w:rFonts w:ascii="Times New Roman" w:hAnsi="Times New Roman" w:cs="Times New Roman"/>
          <w:sz w:val="24"/>
          <w:szCs w:val="24"/>
        </w:rPr>
        <w:t>]</w:t>
      </w:r>
      <w:r w:rsidR="009C19CF">
        <w:rPr>
          <w:rFonts w:ascii="Times New Roman" w:hAnsi="Times New Roman" w:cs="Times New Roman"/>
          <w:sz w:val="24"/>
          <w:szCs w:val="24"/>
        </w:rPr>
        <w:t xml:space="preserve">, а для анализа зависимости </w:t>
      </w:r>
      <w:r w:rsidR="00C61CA4">
        <w:rPr>
          <w:rFonts w:ascii="Times New Roman" w:hAnsi="Times New Roman" w:cs="Times New Roman"/>
          <w:sz w:val="24"/>
          <w:szCs w:val="24"/>
        </w:rPr>
        <w:t>частотных префакторов от длины цепочки –</w:t>
      </w:r>
      <w:r w:rsidR="00C61CA4">
        <w:t xml:space="preserve"> </w:t>
      </w:r>
      <w:r w:rsidR="00C61CA4" w:rsidRPr="00C61CA4">
        <w:rPr>
          <w:rFonts w:ascii="Times New Roman" w:hAnsi="Times New Roman" w:cs="Times New Roman"/>
          <w:sz w:val="24"/>
          <w:szCs w:val="24"/>
        </w:rPr>
        <w:t>гармоническо</w:t>
      </w:r>
      <w:r w:rsidR="00C61CA4" w:rsidRPr="00C61CA4">
        <w:rPr>
          <w:rFonts w:ascii="Times New Roman" w:hAnsi="Times New Roman" w:cs="Times New Roman"/>
          <w:sz w:val="24"/>
          <w:szCs w:val="24"/>
        </w:rPr>
        <w:t>е</w:t>
      </w:r>
      <w:r w:rsidR="00C61CA4" w:rsidRPr="00C61CA4">
        <w:rPr>
          <w:rFonts w:ascii="Times New Roman" w:hAnsi="Times New Roman" w:cs="Times New Roman"/>
          <w:sz w:val="24"/>
          <w:szCs w:val="24"/>
        </w:rPr>
        <w:t xml:space="preserve"> приближени</w:t>
      </w:r>
      <w:r w:rsidR="00C61CA4" w:rsidRPr="00C61CA4">
        <w:rPr>
          <w:rFonts w:ascii="Times New Roman" w:hAnsi="Times New Roman" w:cs="Times New Roman"/>
          <w:sz w:val="24"/>
          <w:szCs w:val="24"/>
        </w:rPr>
        <w:t>е</w:t>
      </w:r>
      <w:r w:rsidR="00C61CA4" w:rsidRPr="00C61CA4">
        <w:rPr>
          <w:rFonts w:ascii="Times New Roman" w:hAnsi="Times New Roman" w:cs="Times New Roman"/>
          <w:sz w:val="24"/>
          <w:szCs w:val="24"/>
        </w:rPr>
        <w:t xml:space="preserve"> теории переходного состояния</w:t>
      </w:r>
      <w:r w:rsidR="00944831">
        <w:rPr>
          <w:rFonts w:ascii="Times New Roman" w:hAnsi="Times New Roman" w:cs="Times New Roman"/>
          <w:sz w:val="24"/>
          <w:szCs w:val="24"/>
        </w:rPr>
        <w:t xml:space="preserve"> </w:t>
      </w:r>
      <w:r w:rsidR="00C61CA4" w:rsidRPr="00C61CA4">
        <w:rPr>
          <w:rFonts w:ascii="Times New Roman" w:hAnsi="Times New Roman" w:cs="Times New Roman"/>
          <w:sz w:val="24"/>
          <w:szCs w:val="24"/>
        </w:rPr>
        <w:t>[</w:t>
      </w:r>
      <w:r w:rsidR="00032A6F">
        <w:rPr>
          <w:rFonts w:ascii="Times New Roman" w:hAnsi="Times New Roman" w:cs="Times New Roman"/>
          <w:sz w:val="24"/>
          <w:szCs w:val="24"/>
        </w:rPr>
        <w:t>1</w:t>
      </w:r>
      <w:r w:rsidR="00944831">
        <w:rPr>
          <w:rFonts w:ascii="Times New Roman" w:hAnsi="Times New Roman" w:cs="Times New Roman"/>
          <w:sz w:val="24"/>
          <w:szCs w:val="24"/>
        </w:rPr>
        <w:t>,5</w:t>
      </w:r>
      <w:r w:rsidR="00C61CA4" w:rsidRPr="00C61CA4">
        <w:rPr>
          <w:rFonts w:ascii="Times New Roman" w:hAnsi="Times New Roman" w:cs="Times New Roman"/>
          <w:sz w:val="24"/>
          <w:szCs w:val="24"/>
        </w:rPr>
        <w:t>]</w:t>
      </w:r>
      <w:r w:rsidR="003409CF" w:rsidRPr="00C61CA4">
        <w:rPr>
          <w:rFonts w:ascii="Times New Roman" w:hAnsi="Times New Roman" w:cs="Times New Roman"/>
          <w:sz w:val="24"/>
          <w:szCs w:val="24"/>
        </w:rPr>
        <w:t>.</w:t>
      </w:r>
      <w:r w:rsidR="002F6F75">
        <w:rPr>
          <w:rFonts w:ascii="Times New Roman" w:hAnsi="Times New Roman" w:cs="Times New Roman"/>
          <w:sz w:val="24"/>
          <w:szCs w:val="24"/>
        </w:rPr>
        <w:t xml:space="preserve"> Этим</w:t>
      </w:r>
      <w:r w:rsidR="00C61CA4">
        <w:rPr>
          <w:rFonts w:ascii="Times New Roman" w:hAnsi="Times New Roman" w:cs="Times New Roman"/>
          <w:sz w:val="24"/>
          <w:szCs w:val="24"/>
        </w:rPr>
        <w:t>и</w:t>
      </w:r>
      <w:r w:rsidR="002F6F75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C61CA4">
        <w:rPr>
          <w:rFonts w:ascii="Times New Roman" w:hAnsi="Times New Roman" w:cs="Times New Roman"/>
          <w:sz w:val="24"/>
          <w:szCs w:val="24"/>
        </w:rPr>
        <w:t>а</w:t>
      </w:r>
      <w:r w:rsidR="002F6F75">
        <w:rPr>
          <w:rFonts w:ascii="Times New Roman" w:hAnsi="Times New Roman" w:cs="Times New Roman"/>
          <w:sz w:val="24"/>
          <w:szCs w:val="24"/>
        </w:rPr>
        <w:t>м</w:t>
      </w:r>
      <w:r w:rsidR="00C61CA4">
        <w:rPr>
          <w:rFonts w:ascii="Times New Roman" w:hAnsi="Times New Roman" w:cs="Times New Roman"/>
          <w:sz w:val="24"/>
          <w:szCs w:val="24"/>
        </w:rPr>
        <w:t>и</w:t>
      </w:r>
      <w:r w:rsidR="002F6F75">
        <w:rPr>
          <w:rFonts w:ascii="Times New Roman" w:hAnsi="Times New Roman" w:cs="Times New Roman"/>
          <w:sz w:val="24"/>
          <w:szCs w:val="24"/>
        </w:rPr>
        <w:t xml:space="preserve"> были вычислены энергетические барьеры </w:t>
      </w:r>
      <w:r w:rsidR="00C61CA4">
        <w:rPr>
          <w:rFonts w:ascii="Times New Roman" w:hAnsi="Times New Roman" w:cs="Times New Roman"/>
          <w:sz w:val="24"/>
          <w:szCs w:val="24"/>
        </w:rPr>
        <w:t xml:space="preserve">и частотные префакторы </w:t>
      </w:r>
      <w:r w:rsidR="002F6F75">
        <w:rPr>
          <w:rFonts w:ascii="Times New Roman" w:hAnsi="Times New Roman" w:cs="Times New Roman"/>
          <w:sz w:val="24"/>
          <w:szCs w:val="24"/>
        </w:rPr>
        <w:t>для цепочек длиной от 5 до 100 атомов.</w:t>
      </w:r>
    </w:p>
    <w:p w14:paraId="096915C7" w14:textId="788F6214" w:rsidR="00506038" w:rsidRPr="00DF352C" w:rsidRDefault="006C4D99" w:rsidP="00032A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</w:t>
      </w:r>
      <w:r w:rsidR="00C61CA4">
        <w:rPr>
          <w:rFonts w:ascii="Times New Roman" w:hAnsi="Times New Roman" w:cs="Times New Roman"/>
          <w:sz w:val="24"/>
          <w:szCs w:val="24"/>
        </w:rPr>
        <w:t>овались</w:t>
      </w:r>
      <w:r>
        <w:rPr>
          <w:rFonts w:ascii="Times New Roman" w:hAnsi="Times New Roman" w:cs="Times New Roman"/>
          <w:sz w:val="24"/>
          <w:szCs w:val="24"/>
        </w:rPr>
        <w:t xml:space="preserve"> механизмы перемагничивания цепочек из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6C4D99">
        <w:rPr>
          <w:rFonts w:ascii="Times New Roman" w:hAnsi="Times New Roman" w:cs="Times New Roman"/>
          <w:sz w:val="24"/>
          <w:szCs w:val="24"/>
        </w:rPr>
        <w:t xml:space="preserve"> </w:t>
      </w:r>
      <w:r w:rsidR="00612C90">
        <w:rPr>
          <w:rFonts w:ascii="Times New Roman" w:hAnsi="Times New Roman" w:cs="Times New Roman"/>
          <w:sz w:val="24"/>
          <w:szCs w:val="24"/>
        </w:rPr>
        <w:t xml:space="preserve">на поверхности </w:t>
      </w:r>
      <w:r w:rsidR="00612C90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612C90" w:rsidRPr="00612C90">
        <w:rPr>
          <w:rFonts w:ascii="Times New Roman" w:hAnsi="Times New Roman" w:cs="Times New Roman"/>
          <w:sz w:val="24"/>
          <w:szCs w:val="24"/>
        </w:rPr>
        <w:t>(664)</w:t>
      </w:r>
      <w:r w:rsidR="00AA1560">
        <w:rPr>
          <w:rFonts w:ascii="Times New Roman" w:hAnsi="Times New Roman" w:cs="Times New Roman"/>
          <w:sz w:val="24"/>
          <w:szCs w:val="24"/>
        </w:rPr>
        <w:t>.</w:t>
      </w:r>
      <w:r w:rsidR="002F6F75">
        <w:rPr>
          <w:rFonts w:ascii="Times New Roman" w:hAnsi="Times New Roman" w:cs="Times New Roman"/>
          <w:sz w:val="24"/>
          <w:szCs w:val="24"/>
        </w:rPr>
        <w:t xml:space="preserve"> </w:t>
      </w:r>
      <w:r w:rsidR="00C61CA4">
        <w:rPr>
          <w:rFonts w:ascii="Times New Roman" w:hAnsi="Times New Roman" w:cs="Times New Roman"/>
          <w:sz w:val="24"/>
          <w:szCs w:val="24"/>
        </w:rPr>
        <w:t>Часто в</w:t>
      </w:r>
      <w:r w:rsidR="00AA1560">
        <w:rPr>
          <w:rFonts w:ascii="Times New Roman" w:hAnsi="Times New Roman" w:cs="Times New Roman"/>
          <w:sz w:val="24"/>
          <w:szCs w:val="24"/>
        </w:rPr>
        <w:t xml:space="preserve"> работах на эту тему значения частотных префакторов счита</w:t>
      </w:r>
      <w:r w:rsidR="00C61CA4">
        <w:rPr>
          <w:rFonts w:ascii="Times New Roman" w:hAnsi="Times New Roman" w:cs="Times New Roman"/>
          <w:sz w:val="24"/>
          <w:szCs w:val="24"/>
        </w:rPr>
        <w:t>ются</w:t>
      </w:r>
      <w:r w:rsidR="00AA1560">
        <w:rPr>
          <w:rFonts w:ascii="Times New Roman" w:hAnsi="Times New Roman" w:cs="Times New Roman"/>
          <w:sz w:val="24"/>
          <w:szCs w:val="24"/>
        </w:rPr>
        <w:t xml:space="preserve"> не зависящими от длины цепочки</w:t>
      </w:r>
      <w:r w:rsidR="000A4E21">
        <w:rPr>
          <w:rFonts w:ascii="Times New Roman" w:hAnsi="Times New Roman" w:cs="Times New Roman"/>
          <w:sz w:val="24"/>
          <w:szCs w:val="24"/>
        </w:rPr>
        <w:t>. Однако п</w:t>
      </w:r>
      <w:r w:rsidR="000A4E21">
        <w:rPr>
          <w:rFonts w:ascii="Times New Roman" w:hAnsi="Times New Roman" w:cs="Times New Roman"/>
          <w:sz w:val="24"/>
          <w:szCs w:val="24"/>
        </w:rPr>
        <w:t xml:space="preserve">о результатам расчетов </w:t>
      </w:r>
      <w:r w:rsidR="000A4E21">
        <w:rPr>
          <w:rFonts w:ascii="Times New Roman" w:hAnsi="Times New Roman" w:cs="Times New Roman"/>
          <w:sz w:val="24"/>
          <w:szCs w:val="24"/>
        </w:rPr>
        <w:t xml:space="preserve">эта </w:t>
      </w:r>
      <w:r w:rsidR="000A4E21">
        <w:rPr>
          <w:rFonts w:ascii="Times New Roman" w:hAnsi="Times New Roman" w:cs="Times New Roman"/>
          <w:sz w:val="24"/>
          <w:szCs w:val="24"/>
        </w:rPr>
        <w:t>зависимость оказалась значительной и немонотонной</w:t>
      </w:r>
      <w:r w:rsidR="000A4E21">
        <w:rPr>
          <w:rFonts w:ascii="Times New Roman" w:hAnsi="Times New Roman" w:cs="Times New Roman"/>
          <w:sz w:val="24"/>
          <w:szCs w:val="24"/>
        </w:rPr>
        <w:t>.</w:t>
      </w:r>
      <w:r w:rsidR="0065481E">
        <w:rPr>
          <w:rFonts w:ascii="Times New Roman" w:hAnsi="Times New Roman" w:cs="Times New Roman"/>
          <w:sz w:val="24"/>
          <w:szCs w:val="24"/>
        </w:rPr>
        <w:t xml:space="preserve"> </w:t>
      </w:r>
      <w:r w:rsidR="000A4E21">
        <w:rPr>
          <w:rFonts w:ascii="Times New Roman" w:hAnsi="Times New Roman" w:cs="Times New Roman"/>
          <w:sz w:val="24"/>
          <w:szCs w:val="24"/>
        </w:rPr>
        <w:t>Также р</w:t>
      </w:r>
      <w:r w:rsidR="00692110">
        <w:rPr>
          <w:rFonts w:ascii="Times New Roman" w:hAnsi="Times New Roman" w:cs="Times New Roman"/>
          <w:sz w:val="24"/>
          <w:szCs w:val="24"/>
        </w:rPr>
        <w:t>ассмотре</w:t>
      </w:r>
      <w:r w:rsidR="00944831">
        <w:rPr>
          <w:rFonts w:ascii="Times New Roman" w:hAnsi="Times New Roman" w:cs="Times New Roman"/>
          <w:sz w:val="24"/>
          <w:szCs w:val="24"/>
        </w:rPr>
        <w:t>на</w:t>
      </w:r>
      <w:r w:rsidR="00692110">
        <w:rPr>
          <w:rFonts w:ascii="Times New Roman" w:hAnsi="Times New Roman" w:cs="Times New Roman"/>
          <w:sz w:val="24"/>
          <w:szCs w:val="24"/>
        </w:rPr>
        <w:t xml:space="preserve"> зависимость частотных префакторов от величины внешнего магнитного поля</w:t>
      </w:r>
      <w:r w:rsidR="00DF352C">
        <w:rPr>
          <w:rFonts w:ascii="Times New Roman" w:hAnsi="Times New Roman" w:cs="Times New Roman"/>
          <w:sz w:val="24"/>
          <w:szCs w:val="24"/>
        </w:rPr>
        <w:t xml:space="preserve"> и характер перемагничивания цепочки из </w:t>
      </w:r>
      <w:r w:rsidR="00DF352C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F352C" w:rsidRPr="00DF352C">
        <w:rPr>
          <w:rFonts w:ascii="Times New Roman" w:hAnsi="Times New Roman" w:cs="Times New Roman"/>
          <w:sz w:val="24"/>
          <w:szCs w:val="24"/>
        </w:rPr>
        <w:t xml:space="preserve"> </w:t>
      </w:r>
      <w:r w:rsidR="00DF352C">
        <w:rPr>
          <w:rFonts w:ascii="Times New Roman" w:hAnsi="Times New Roman" w:cs="Times New Roman"/>
          <w:sz w:val="24"/>
          <w:szCs w:val="24"/>
        </w:rPr>
        <w:t xml:space="preserve">в этом поле. </w:t>
      </w:r>
      <w:r w:rsidR="00944831">
        <w:rPr>
          <w:rFonts w:ascii="Times New Roman" w:hAnsi="Times New Roman" w:cs="Times New Roman"/>
          <w:sz w:val="24"/>
          <w:szCs w:val="24"/>
        </w:rPr>
        <w:t>П</w:t>
      </w:r>
      <w:r w:rsidR="00DF352C">
        <w:rPr>
          <w:rFonts w:ascii="Times New Roman" w:hAnsi="Times New Roman" w:cs="Times New Roman"/>
          <w:sz w:val="24"/>
          <w:szCs w:val="24"/>
        </w:rPr>
        <w:t xml:space="preserve">еремагничивание может происходить как путём полного переворота всех магнитных моментов цепочки (для малых длин), так и путём образования неелевской доменной стенки (для более длинных цепочек). </w:t>
      </w:r>
      <w:r w:rsidR="00944831">
        <w:rPr>
          <w:rFonts w:ascii="Times New Roman" w:hAnsi="Times New Roman" w:cs="Times New Roman"/>
          <w:sz w:val="24"/>
          <w:szCs w:val="24"/>
        </w:rPr>
        <w:t>Н</w:t>
      </w:r>
      <w:r w:rsidR="00144724">
        <w:rPr>
          <w:rFonts w:ascii="Times New Roman" w:hAnsi="Times New Roman" w:cs="Times New Roman"/>
          <w:sz w:val="24"/>
          <w:szCs w:val="24"/>
        </w:rPr>
        <w:t xml:space="preserve">айдены характерные длины </w:t>
      </w:r>
      <w:r w:rsidR="0014472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44724" w:rsidRPr="00144724">
        <w:rPr>
          <w:rFonts w:ascii="Times New Roman" w:hAnsi="Times New Roman" w:cs="Times New Roman"/>
          <w:sz w:val="24"/>
          <w:szCs w:val="24"/>
        </w:rPr>
        <w:t xml:space="preserve"> = 17 </w:t>
      </w:r>
      <w:r w:rsidR="00144724">
        <w:rPr>
          <w:rFonts w:ascii="Times New Roman" w:hAnsi="Times New Roman" w:cs="Times New Roman"/>
          <w:sz w:val="24"/>
          <w:szCs w:val="24"/>
        </w:rPr>
        <w:t xml:space="preserve">и </w:t>
      </w:r>
      <w:r w:rsidR="0014472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44724" w:rsidRPr="00144724">
        <w:rPr>
          <w:rFonts w:ascii="Times New Roman" w:hAnsi="Times New Roman" w:cs="Times New Roman"/>
          <w:sz w:val="24"/>
          <w:szCs w:val="24"/>
        </w:rPr>
        <w:t xml:space="preserve"> = 24</w:t>
      </w:r>
      <w:r w:rsidR="00144724">
        <w:rPr>
          <w:rFonts w:ascii="Times New Roman" w:hAnsi="Times New Roman" w:cs="Times New Roman"/>
          <w:sz w:val="24"/>
          <w:szCs w:val="24"/>
        </w:rPr>
        <w:t>, при которых меняется механизм перемагничивания</w:t>
      </w:r>
      <w:r w:rsidR="00944831">
        <w:rPr>
          <w:rFonts w:ascii="Times New Roman" w:hAnsi="Times New Roman" w:cs="Times New Roman"/>
          <w:sz w:val="24"/>
          <w:szCs w:val="24"/>
        </w:rPr>
        <w:t>. При тех же длинах цепочки</w:t>
      </w:r>
      <w:r w:rsidR="00144724">
        <w:rPr>
          <w:rFonts w:ascii="Times New Roman" w:hAnsi="Times New Roman" w:cs="Times New Roman"/>
          <w:sz w:val="24"/>
          <w:szCs w:val="24"/>
        </w:rPr>
        <w:t xml:space="preserve"> возрастает частотный префактор.</w:t>
      </w:r>
      <w:r w:rsidR="00944831">
        <w:rPr>
          <w:rFonts w:ascii="Times New Roman" w:hAnsi="Times New Roman" w:cs="Times New Roman"/>
          <w:sz w:val="24"/>
          <w:szCs w:val="24"/>
        </w:rPr>
        <w:t xml:space="preserve"> П</w:t>
      </w:r>
      <w:r w:rsidR="00506038">
        <w:rPr>
          <w:rFonts w:ascii="Times New Roman" w:hAnsi="Times New Roman" w:cs="Times New Roman"/>
          <w:sz w:val="24"/>
          <w:szCs w:val="24"/>
        </w:rPr>
        <w:t>остроены кривые намагничивания, рассчитаны значения остаточной намагниченности и коэрцитивных сил, а также получены зависимости коэрцитивной силы от температур</w:t>
      </w:r>
      <w:r w:rsidR="00944831">
        <w:rPr>
          <w:rFonts w:ascii="Times New Roman" w:hAnsi="Times New Roman" w:cs="Times New Roman"/>
          <w:sz w:val="24"/>
          <w:szCs w:val="24"/>
        </w:rPr>
        <w:t>ы</w:t>
      </w:r>
      <w:r w:rsidR="00506038">
        <w:rPr>
          <w:rFonts w:ascii="Times New Roman" w:hAnsi="Times New Roman" w:cs="Times New Roman"/>
          <w:sz w:val="24"/>
          <w:szCs w:val="24"/>
        </w:rPr>
        <w:t>, длин</w:t>
      </w:r>
      <w:r w:rsidR="00944831">
        <w:rPr>
          <w:rFonts w:ascii="Times New Roman" w:hAnsi="Times New Roman" w:cs="Times New Roman"/>
          <w:sz w:val="24"/>
          <w:szCs w:val="24"/>
        </w:rPr>
        <w:t>ы</w:t>
      </w:r>
      <w:r w:rsidR="00506038">
        <w:rPr>
          <w:rFonts w:ascii="Times New Roman" w:hAnsi="Times New Roman" w:cs="Times New Roman"/>
          <w:sz w:val="24"/>
          <w:szCs w:val="24"/>
        </w:rPr>
        <w:t xml:space="preserve"> цепочки и скорост</w:t>
      </w:r>
      <w:r w:rsidR="00944831">
        <w:rPr>
          <w:rFonts w:ascii="Times New Roman" w:hAnsi="Times New Roman" w:cs="Times New Roman"/>
          <w:sz w:val="24"/>
          <w:szCs w:val="24"/>
        </w:rPr>
        <w:t>и</w:t>
      </w:r>
      <w:r w:rsidR="00506038">
        <w:rPr>
          <w:rFonts w:ascii="Times New Roman" w:hAnsi="Times New Roman" w:cs="Times New Roman"/>
          <w:sz w:val="24"/>
          <w:szCs w:val="24"/>
        </w:rPr>
        <w:t xml:space="preserve"> изменения магнитного поля.</w:t>
      </w:r>
    </w:p>
    <w:p w14:paraId="7A7646DE" w14:textId="77CBF6BD" w:rsidR="00B373E4" w:rsidRDefault="00B373E4" w:rsidP="00032A6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3587B">
        <w:rPr>
          <w:rFonts w:ascii="Times New Roman" w:hAnsi="Times New Roman"/>
          <w:sz w:val="24"/>
          <w:szCs w:val="24"/>
        </w:rPr>
        <w:t xml:space="preserve">Данная работа поддержана стипендией Фонда развития теоретической физики и математики «БАЗИС» </w:t>
      </w:r>
      <w:r w:rsidRPr="0063587B">
        <w:rPr>
          <w:rFonts w:ascii="Times New Roman" w:hAnsi="Times New Roman"/>
          <w:sz w:val="24"/>
          <w:szCs w:val="24"/>
          <w:shd w:val="clear" w:color="auto" w:fill="FFFFFF"/>
        </w:rPr>
        <w:t>для студентов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старших курсов</w:t>
      </w:r>
      <w:r w:rsidRPr="0063587B">
        <w:rPr>
          <w:rFonts w:ascii="Times New Roman" w:hAnsi="Times New Roman"/>
          <w:sz w:val="24"/>
          <w:szCs w:val="24"/>
          <w:shd w:val="clear" w:color="auto" w:fill="FFFFFF"/>
        </w:rPr>
        <w:t xml:space="preserve"> Физического факультета МГУ им. М</w:t>
      </w:r>
      <w:r w:rsidRPr="00FA138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3587B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FA138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3587B">
        <w:rPr>
          <w:rFonts w:ascii="Times New Roman" w:hAnsi="Times New Roman"/>
          <w:sz w:val="24"/>
          <w:szCs w:val="24"/>
          <w:shd w:val="clear" w:color="auto" w:fill="FFFFFF"/>
        </w:rPr>
        <w:t>Ломоносова</w:t>
      </w:r>
      <w:r w:rsidRPr="00FA1389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Также работа выполнена при поддержке Российского научного фонда (грант №</w:t>
      </w:r>
      <w:r w:rsidRPr="00FA1389">
        <w:rPr>
          <w:rFonts w:ascii="Times New Roman" w:hAnsi="Times New Roman"/>
          <w:sz w:val="24"/>
          <w:szCs w:val="24"/>
          <w:shd w:val="clear" w:color="auto" w:fill="FFFFFF"/>
        </w:rPr>
        <w:t>21-72-20034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FA138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6C5AA7E" w14:textId="77777777" w:rsidR="00506038" w:rsidRPr="00FA1389" w:rsidRDefault="00506038" w:rsidP="00506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B0D047" w14:textId="33332D67" w:rsidR="00240B66" w:rsidRPr="00240B66" w:rsidRDefault="00CB2D45" w:rsidP="00032A6F">
      <w:pPr>
        <w:pStyle w:val="names1"/>
        <w:spacing w:before="0" w:beforeAutospacing="0" w:after="240" w:afterAutospacing="0"/>
        <w:jc w:val="center"/>
        <w:rPr>
          <w:b/>
          <w:bCs/>
          <w:shd w:val="clear" w:color="auto" w:fill="FFFFFF"/>
          <w:lang w:val="en-US"/>
        </w:rPr>
      </w:pPr>
      <w:r w:rsidRPr="002E18C8">
        <w:rPr>
          <w:rStyle w:val="a5"/>
          <w:shd w:val="clear" w:color="auto" w:fill="FFFFFF"/>
        </w:rPr>
        <w:t>Литература</w:t>
      </w:r>
    </w:p>
    <w:p w14:paraId="329BEB35" w14:textId="6673D565" w:rsidR="00032A6F" w:rsidRPr="009C720B" w:rsidRDefault="00032A6F" w:rsidP="00032A6F">
      <w:pPr>
        <w:pStyle w:val="PMMReferences"/>
        <w:numPr>
          <w:ilvl w:val="0"/>
          <w:numId w:val="0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1</w:t>
      </w:r>
      <w:r w:rsidRPr="009C720B">
        <w:rPr>
          <w:sz w:val="24"/>
          <w:szCs w:val="24"/>
        </w:rPr>
        <w:t>.</w:t>
      </w:r>
      <w:r w:rsidRPr="009C720B">
        <w:rPr>
          <w:rFonts w:eastAsia="CMR10" w:cs="Times New Roman"/>
          <w:sz w:val="24"/>
          <w:szCs w:val="24"/>
        </w:rPr>
        <w:t xml:space="preserve"> И.С. Лобанов, М.Н. Поткина, В.М. Уздин, Устойчивость и времена жизни магнитных состояний нано- и микроструктур (миниобзор) // Письма в ЖЭТФ 2021, Т. </w:t>
      </w:r>
      <w:r w:rsidRPr="009C720B">
        <w:rPr>
          <w:rFonts w:eastAsia="CMR10" w:cs="Times New Roman"/>
          <w:b/>
          <w:bCs/>
          <w:sz w:val="24"/>
          <w:szCs w:val="24"/>
        </w:rPr>
        <w:t>113</w:t>
      </w:r>
      <w:r w:rsidRPr="009C720B">
        <w:rPr>
          <w:rFonts w:eastAsia="CMR10" w:cs="Times New Roman"/>
          <w:sz w:val="24"/>
          <w:szCs w:val="24"/>
        </w:rPr>
        <w:t>, 833.</w:t>
      </w:r>
    </w:p>
    <w:p w14:paraId="32C6B0C6" w14:textId="668C3EFD" w:rsidR="00CB2D45" w:rsidRPr="009C720B" w:rsidRDefault="009C720B" w:rsidP="00032A6F">
      <w:pPr>
        <w:pStyle w:val="PMMReferences"/>
        <w:numPr>
          <w:ilvl w:val="0"/>
          <w:numId w:val="0"/>
        </w:numPr>
        <w:spacing w:after="240"/>
        <w:rPr>
          <w:sz w:val="24"/>
          <w:szCs w:val="24"/>
          <w:lang w:val="en-US"/>
        </w:rPr>
      </w:pPr>
      <w:r w:rsidRPr="009C720B">
        <w:rPr>
          <w:sz w:val="24"/>
          <w:szCs w:val="24"/>
          <w:lang w:val="en-US"/>
        </w:rPr>
        <w:lastRenderedPageBreak/>
        <w:t xml:space="preserve">2. </w:t>
      </w:r>
      <w:r w:rsidRPr="009C720B">
        <w:rPr>
          <w:color w:val="auto"/>
          <w:sz w:val="24"/>
          <w:szCs w:val="24"/>
          <w:lang w:val="en-US"/>
        </w:rPr>
        <w:t>B. Schweflinghaus, B. Zimmermann, M. Heide, G. Bihlmayer, S. Bl¨ugel, Role of Dzyaloshinskii-Moriya</w:t>
      </w:r>
      <w:r w:rsidRPr="009C720B">
        <w:rPr>
          <w:color w:val="auto"/>
          <w:sz w:val="24"/>
          <w:szCs w:val="24"/>
          <w:lang w:val="en-US"/>
        </w:rPr>
        <w:t xml:space="preserve"> </w:t>
      </w:r>
      <w:r w:rsidRPr="009C720B">
        <w:rPr>
          <w:color w:val="auto"/>
          <w:sz w:val="24"/>
          <w:szCs w:val="24"/>
          <w:lang w:val="en-US"/>
        </w:rPr>
        <w:t xml:space="preserve">interaction for magnetism in transition-metal chains at Pt step edges // Phys. Rev. B. 2016.  </w:t>
      </w:r>
      <w:r w:rsidRPr="009C720B">
        <w:rPr>
          <w:b/>
          <w:bCs/>
          <w:color w:val="auto"/>
          <w:sz w:val="24"/>
          <w:szCs w:val="24"/>
          <w:lang w:val="en-US"/>
        </w:rPr>
        <w:t>94</w:t>
      </w:r>
      <w:r w:rsidRPr="009C720B">
        <w:rPr>
          <w:color w:val="auto"/>
          <w:sz w:val="24"/>
          <w:szCs w:val="24"/>
          <w:lang w:val="en-US"/>
        </w:rPr>
        <w:t>, 024403.</w:t>
      </w:r>
    </w:p>
    <w:p w14:paraId="0B787A6B" w14:textId="3204766C" w:rsidR="00CB2D45" w:rsidRDefault="00944831" w:rsidP="00032A6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C720B">
        <w:rPr>
          <w:rFonts w:ascii="Times New Roman" w:hAnsi="Times New Roman"/>
          <w:sz w:val="24"/>
          <w:szCs w:val="24"/>
          <w:lang w:val="en-US"/>
        </w:rPr>
        <w:t>3</w:t>
      </w:r>
      <w:r w:rsidR="00CB2D45" w:rsidRPr="009C720B">
        <w:rPr>
          <w:rFonts w:ascii="Times New Roman" w:hAnsi="Times New Roman"/>
          <w:sz w:val="24"/>
          <w:szCs w:val="24"/>
          <w:lang w:val="en-US"/>
        </w:rPr>
        <w:t xml:space="preserve">. Bessarab P F, Uzdin VM, Jónsson H, “Method for finding mechanism and activation energy of magnetic transitions, applied to skyrmion and antivortex annihilation,” Comput. Phys. Commun., vol. </w:t>
      </w:r>
      <w:r w:rsidR="00CB2D45" w:rsidRPr="009C720B">
        <w:rPr>
          <w:rFonts w:ascii="Times New Roman" w:hAnsi="Times New Roman"/>
          <w:b/>
          <w:sz w:val="24"/>
          <w:szCs w:val="24"/>
          <w:lang w:val="en-US"/>
        </w:rPr>
        <w:t>196</w:t>
      </w:r>
      <w:r w:rsidR="00CB2D45" w:rsidRPr="009C720B">
        <w:rPr>
          <w:rFonts w:ascii="Times New Roman" w:hAnsi="Times New Roman"/>
          <w:sz w:val="24"/>
          <w:szCs w:val="24"/>
          <w:lang w:val="en-US"/>
        </w:rPr>
        <w:t>, pp. 335–347 (2015)</w:t>
      </w:r>
    </w:p>
    <w:p w14:paraId="703FE340" w14:textId="1BA43A95" w:rsidR="00032A6F" w:rsidRPr="009C720B" w:rsidRDefault="00032A6F" w:rsidP="00032A6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32A6F">
        <w:rPr>
          <w:rFonts w:ascii="Times New Roman" w:hAnsi="Times New Roman"/>
          <w:sz w:val="24"/>
          <w:szCs w:val="24"/>
          <w:lang w:val="en-US"/>
        </w:rPr>
        <w:t>4</w:t>
      </w:r>
      <w:r w:rsidRPr="009C720B">
        <w:rPr>
          <w:rFonts w:ascii="Times New Roman" w:hAnsi="Times New Roman"/>
          <w:sz w:val="24"/>
          <w:szCs w:val="24"/>
          <w:lang w:val="en-US"/>
        </w:rPr>
        <w:t xml:space="preserve">. Gambardella P, Rusponi S, Veronese M, Dhesi S S, Grazioli C, Dallmeyer A, Cabria I, Zeller R, Dederichs P H, Kern K, Carbone C, Brune H, Giant magnetic anisotropy of single cobalt atoms and nanoparticles, Science, vol. </w:t>
      </w:r>
      <w:r w:rsidRPr="009C720B">
        <w:rPr>
          <w:rFonts w:ascii="Times New Roman" w:hAnsi="Times New Roman"/>
          <w:b/>
          <w:sz w:val="24"/>
          <w:szCs w:val="24"/>
          <w:lang w:val="en-US"/>
        </w:rPr>
        <w:t>300</w:t>
      </w:r>
      <w:r w:rsidRPr="009C720B">
        <w:rPr>
          <w:rFonts w:ascii="Times New Roman" w:hAnsi="Times New Roman"/>
          <w:sz w:val="24"/>
          <w:szCs w:val="24"/>
          <w:lang w:val="en-US"/>
        </w:rPr>
        <w:t xml:space="preserve">, pp. 1130–1133 (2003) </w:t>
      </w:r>
    </w:p>
    <w:p w14:paraId="365F7909" w14:textId="0CB50ECF" w:rsidR="009C720B" w:rsidRPr="009C720B" w:rsidRDefault="009C720B" w:rsidP="009C720B">
      <w:pPr>
        <w:pStyle w:val="PMMReferences"/>
        <w:numPr>
          <w:ilvl w:val="0"/>
          <w:numId w:val="0"/>
        </w:numPr>
        <w:rPr>
          <w:sz w:val="24"/>
          <w:szCs w:val="24"/>
        </w:rPr>
      </w:pPr>
      <w:r w:rsidRPr="009C720B">
        <w:rPr>
          <w:sz w:val="24"/>
          <w:szCs w:val="24"/>
          <w:lang w:val="en-US"/>
        </w:rPr>
        <w:t xml:space="preserve">5. </w:t>
      </w:r>
      <w:r w:rsidRPr="009C720B">
        <w:rPr>
          <w:rFonts w:eastAsia="CMR10" w:cs="Times New Roman"/>
          <w:sz w:val="24"/>
          <w:szCs w:val="24"/>
          <w:lang w:val="en-US"/>
        </w:rPr>
        <w:t xml:space="preserve">P. Hanggi, P. Talkner, M. Borkovec, Reaction-rate theory: fifty years after Kramers // Rev. Mod. Phys. 1990 V. </w:t>
      </w:r>
      <w:r w:rsidRPr="009C720B">
        <w:rPr>
          <w:rFonts w:eastAsia="CMR10" w:cs="Times New Roman"/>
          <w:b/>
          <w:bCs/>
          <w:sz w:val="24"/>
          <w:szCs w:val="24"/>
          <w:lang w:val="en-US"/>
        </w:rPr>
        <w:t>62</w:t>
      </w:r>
      <w:r w:rsidRPr="009C720B">
        <w:rPr>
          <w:rFonts w:eastAsia="CMR10" w:cs="Times New Roman"/>
          <w:sz w:val="24"/>
          <w:szCs w:val="24"/>
          <w:lang w:val="en-US"/>
        </w:rPr>
        <w:t>, 251.</w:t>
      </w:r>
    </w:p>
    <w:p w14:paraId="29B75CF7" w14:textId="77777777" w:rsidR="00B373E4" w:rsidRPr="009C720B" w:rsidRDefault="00B373E4" w:rsidP="006C4D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373E4" w:rsidRPr="009C720B" w:rsidSect="0092042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F47FE"/>
    <w:multiLevelType w:val="hybridMultilevel"/>
    <w:tmpl w:val="9D485ED4"/>
    <w:lvl w:ilvl="0" w:tplc="86C00024">
      <w:start w:val="1"/>
      <w:numFmt w:val="decimal"/>
      <w:pStyle w:val="PMMReferences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E9B5CF0"/>
    <w:multiLevelType w:val="hybridMultilevel"/>
    <w:tmpl w:val="52F85C3C"/>
    <w:lvl w:ilvl="0" w:tplc="1D34B63A">
      <w:start w:val="5"/>
      <w:numFmt w:val="decimal"/>
      <w:lvlText w:val="%1."/>
      <w:lvlJc w:val="left"/>
      <w:pPr>
        <w:ind w:left="720" w:hanging="360"/>
      </w:pPr>
      <w:rPr>
        <w:rFonts w:eastAsia="CMR10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5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5E"/>
    <w:rsid w:val="00032A6F"/>
    <w:rsid w:val="00045384"/>
    <w:rsid w:val="000A0343"/>
    <w:rsid w:val="000A4E21"/>
    <w:rsid w:val="00144724"/>
    <w:rsid w:val="001E30FE"/>
    <w:rsid w:val="00240B66"/>
    <w:rsid w:val="002F6F75"/>
    <w:rsid w:val="003409CF"/>
    <w:rsid w:val="0039392F"/>
    <w:rsid w:val="003B76D8"/>
    <w:rsid w:val="00456AD8"/>
    <w:rsid w:val="00506038"/>
    <w:rsid w:val="005910E5"/>
    <w:rsid w:val="00612C90"/>
    <w:rsid w:val="0065481E"/>
    <w:rsid w:val="0066239F"/>
    <w:rsid w:val="00692110"/>
    <w:rsid w:val="006C4D99"/>
    <w:rsid w:val="0078048A"/>
    <w:rsid w:val="0083615C"/>
    <w:rsid w:val="008A215E"/>
    <w:rsid w:val="00920426"/>
    <w:rsid w:val="00944831"/>
    <w:rsid w:val="009C19CF"/>
    <w:rsid w:val="009C720B"/>
    <w:rsid w:val="00A60D42"/>
    <w:rsid w:val="00AA1560"/>
    <w:rsid w:val="00B12253"/>
    <w:rsid w:val="00B373E4"/>
    <w:rsid w:val="00BA0DEE"/>
    <w:rsid w:val="00C468B2"/>
    <w:rsid w:val="00C61CA4"/>
    <w:rsid w:val="00CB2D45"/>
    <w:rsid w:val="00D40CA1"/>
    <w:rsid w:val="00D54007"/>
    <w:rsid w:val="00DF352C"/>
    <w:rsid w:val="00EA2444"/>
    <w:rsid w:val="00EC1CB1"/>
    <w:rsid w:val="00EC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1F3D1"/>
  <w15:chartTrackingRefBased/>
  <w15:docId w15:val="{3623516C-27D1-4C1A-9922-16B47E16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1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215E"/>
    <w:rPr>
      <w:i/>
      <w:iCs/>
    </w:rPr>
  </w:style>
  <w:style w:type="paragraph" w:customStyle="1" w:styleId="names1">
    <w:name w:val="names1"/>
    <w:basedOn w:val="a"/>
    <w:rsid w:val="00CB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CB2D45"/>
    <w:rPr>
      <w:b/>
      <w:bCs/>
    </w:rPr>
  </w:style>
  <w:style w:type="paragraph" w:customStyle="1" w:styleId="PMMReferences">
    <w:name w:val="PMM_References"/>
    <w:basedOn w:val="a"/>
    <w:link w:val="PMMReferences0"/>
    <w:rsid w:val="009C720B"/>
    <w:pPr>
      <w:numPr>
        <w:numId w:val="1"/>
      </w:numPr>
      <w:tabs>
        <w:tab w:val="left" w:pos="0"/>
      </w:tabs>
      <w:spacing w:after="0" w:line="240" w:lineRule="auto"/>
      <w:ind w:left="357" w:hanging="357"/>
      <w:jc w:val="both"/>
    </w:pPr>
    <w:rPr>
      <w:rFonts w:ascii="Times New Roman" w:hAnsi="Times New Roman"/>
      <w:color w:val="000000"/>
      <w:sz w:val="20"/>
      <w:szCs w:val="28"/>
    </w:rPr>
  </w:style>
  <w:style w:type="character" w:customStyle="1" w:styleId="PMMReferences0">
    <w:name w:val="PMM_References Знак"/>
    <w:link w:val="PMMReferences"/>
    <w:rsid w:val="009C720B"/>
    <w:rPr>
      <w:rFonts w:ascii="Times New Roman" w:hAnsi="Times New Roman"/>
      <w:color w:val="000000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13</cp:revision>
  <dcterms:created xsi:type="dcterms:W3CDTF">2024-02-12T09:07:00Z</dcterms:created>
  <dcterms:modified xsi:type="dcterms:W3CDTF">2024-02-15T12:39:00Z</dcterms:modified>
</cp:coreProperties>
</file>