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A8DB0" w14:textId="77777777" w:rsidR="00AD42D6" w:rsidRDefault="00AD42D6" w:rsidP="00BC53DF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AD42D6">
        <w:rPr>
          <w:b/>
          <w:bCs/>
          <w:color w:val="000000"/>
          <w:shd w:val="clear" w:color="auto" w:fill="FFFFFF"/>
        </w:rPr>
        <w:t>Модификация модели Кондорского в рамках исследования процессов перемагничивания в постоянных магнитах типа Nd-Fe-B</w:t>
      </w:r>
    </w:p>
    <w:p w14:paraId="2ABA46DF" w14:textId="77777777" w:rsidR="00BC53DF" w:rsidRPr="00BC53DF" w:rsidRDefault="006F573B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Уржумцев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А</w:t>
      </w:r>
      <w:r w:rsidR="003A7D50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color w:val="000000"/>
          <w:shd w:val="clear" w:color="auto" w:fill="FFFFFF"/>
        </w:rPr>
        <w:t>Н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.,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Мальцева</w:t>
      </w:r>
      <w:r w:rsidR="00BC53DF" w:rsidRPr="00BC53DF">
        <w:rPr>
          <w:b/>
          <w:i/>
        </w:rPr>
        <w:t xml:space="preserve"> </w:t>
      </w:r>
      <w:r>
        <w:rPr>
          <w:b/>
          <w:i/>
        </w:rPr>
        <w:t>В</w:t>
      </w:r>
      <w:r w:rsidR="00BC53DF" w:rsidRPr="00BC53DF">
        <w:rPr>
          <w:b/>
          <w:i/>
        </w:rPr>
        <w:t>.</w:t>
      </w:r>
      <w:r>
        <w:rPr>
          <w:b/>
          <w:i/>
        </w:rPr>
        <w:t>Е</w:t>
      </w:r>
      <w:r w:rsidR="00BC53DF" w:rsidRPr="00BC53DF">
        <w:rPr>
          <w:b/>
          <w:i/>
        </w:rPr>
        <w:t>.</w:t>
      </w:r>
    </w:p>
    <w:p w14:paraId="473D99C0" w14:textId="77777777" w:rsidR="00B60661" w:rsidRDefault="006F573B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>
        <w:rPr>
          <w:rStyle w:val="a3"/>
          <w:color w:val="000000"/>
          <w:shd w:val="clear" w:color="auto" w:fill="FFFFFF"/>
        </w:rPr>
        <w:t>младший научный сотрудник, к.ф.-м.н.</w:t>
      </w:r>
      <w:r w:rsidR="00BC53DF" w:rsidRPr="00BC53DF">
        <w:rPr>
          <w:rStyle w:val="a3"/>
          <w:color w:val="000000"/>
          <w:shd w:val="clear" w:color="auto" w:fill="FFFFFF"/>
        </w:rPr>
        <w:t>,</w:t>
      </w:r>
      <w:r w:rsidR="00BC53DF" w:rsidRPr="00BC53DF">
        <w:rPr>
          <w:i/>
          <w:color w:val="000000"/>
          <w:shd w:val="clear" w:color="auto" w:fill="FFFFFF"/>
        </w:rPr>
        <w:t xml:space="preserve"> </w:t>
      </w:r>
      <w:r w:rsidR="003A7D50">
        <w:rPr>
          <w:i/>
          <w:color w:val="000000"/>
          <w:shd w:val="clear" w:color="auto" w:fill="FFFFFF"/>
        </w:rPr>
        <w:t>аспирант</w:t>
      </w:r>
    </w:p>
    <w:p w14:paraId="21403232" w14:textId="77777777" w:rsidR="003C665C" w:rsidRPr="00AD42D6" w:rsidRDefault="00391155" w:rsidP="00011E41">
      <w:pPr>
        <w:spacing w:after="200"/>
        <w:ind w:firstLine="426"/>
        <w:jc w:val="center"/>
        <w:rPr>
          <w:rStyle w:val="a3"/>
          <w:color w:val="000000"/>
          <w:shd w:val="clear" w:color="auto" w:fill="FFFFFF"/>
        </w:rPr>
      </w:pPr>
      <w:r w:rsidRPr="00071903">
        <w:rPr>
          <w:i/>
          <w:iCs/>
        </w:rPr>
        <w:t>Уральский федеральный университет имени первого Президента России Б.Н. Ельцина,</w:t>
      </w:r>
      <w:r>
        <w:rPr>
          <w:i/>
          <w:iCs/>
        </w:rPr>
        <w:t xml:space="preserve"> Институт естественных наук и математики</w:t>
      </w:r>
      <w:r w:rsidR="00AB2160" w:rsidRPr="00AB2160">
        <w:rPr>
          <w:i/>
          <w:iCs/>
        </w:rPr>
        <w:t xml:space="preserve">, </w:t>
      </w:r>
      <w:r w:rsidRPr="00071903">
        <w:rPr>
          <w:i/>
          <w:iCs/>
        </w:rPr>
        <w:t>Екатеринбург, Россия</w:t>
      </w:r>
      <w:r w:rsidR="00145725" w:rsidRPr="00145725">
        <w:rPr>
          <w:i/>
          <w:iCs/>
          <w:color w:val="000000"/>
          <w:shd w:val="clear" w:color="auto" w:fill="FFFFFF"/>
        </w:rPr>
        <w:br/>
      </w:r>
      <w:r w:rsidR="00145725" w:rsidRPr="00391155">
        <w:rPr>
          <w:rStyle w:val="a3"/>
          <w:color w:val="000000"/>
          <w:shd w:val="clear" w:color="auto" w:fill="FFFFFF"/>
          <w:lang w:val="en-US"/>
        </w:rPr>
        <w:t>E</w:t>
      </w:r>
      <w:r w:rsidR="00145725" w:rsidRPr="00391155">
        <w:rPr>
          <w:rStyle w:val="a3"/>
          <w:color w:val="000000"/>
          <w:shd w:val="clear" w:color="auto" w:fill="FFFFFF"/>
        </w:rPr>
        <w:t>–</w:t>
      </w:r>
      <w:r w:rsidR="00145725" w:rsidRPr="00391155">
        <w:rPr>
          <w:rStyle w:val="a3"/>
          <w:color w:val="000000"/>
          <w:shd w:val="clear" w:color="auto" w:fill="FFFFFF"/>
          <w:lang w:val="en-US"/>
        </w:rPr>
        <w:t>mail</w:t>
      </w:r>
      <w:r w:rsidR="00145725" w:rsidRPr="00391155">
        <w:rPr>
          <w:rStyle w:val="a3"/>
          <w:i w:val="0"/>
          <w:color w:val="000000"/>
          <w:shd w:val="clear" w:color="auto" w:fill="FFFFFF"/>
        </w:rPr>
        <w:t xml:space="preserve">: </w:t>
      </w:r>
      <w:r>
        <w:rPr>
          <w:rStyle w:val="a3"/>
          <w:color w:val="000000"/>
          <w:shd w:val="clear" w:color="auto" w:fill="FFFFFF"/>
          <w:lang w:val="en-US"/>
        </w:rPr>
        <w:t>andrei</w:t>
      </w:r>
      <w:r w:rsidRPr="00391155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urzhumtsev</w:t>
      </w:r>
      <w:r w:rsidRPr="00391155">
        <w:rPr>
          <w:rStyle w:val="a3"/>
          <w:color w:val="000000"/>
          <w:shd w:val="clear" w:color="auto" w:fill="FFFFFF"/>
        </w:rPr>
        <w:t>@</w:t>
      </w:r>
      <w:r>
        <w:rPr>
          <w:rStyle w:val="a3"/>
          <w:color w:val="000000"/>
          <w:shd w:val="clear" w:color="auto" w:fill="FFFFFF"/>
          <w:lang w:val="en-US"/>
        </w:rPr>
        <w:t>urfu</w:t>
      </w:r>
      <w:r w:rsidRPr="00391155">
        <w:rPr>
          <w:rStyle w:val="a3"/>
          <w:color w:val="000000"/>
          <w:shd w:val="clear" w:color="auto" w:fill="FFFFFF"/>
        </w:rPr>
        <w:t>.</w:t>
      </w:r>
      <w:r>
        <w:rPr>
          <w:rStyle w:val="a3"/>
          <w:color w:val="000000"/>
          <w:shd w:val="clear" w:color="auto" w:fill="FFFFFF"/>
          <w:lang w:val="en-US"/>
        </w:rPr>
        <w:t>ru</w:t>
      </w:r>
    </w:p>
    <w:p w14:paraId="36D25AAB" w14:textId="77777777" w:rsidR="00AD42D6" w:rsidRPr="000137D5" w:rsidRDefault="00AD42D6" w:rsidP="00AD42D6">
      <w:pPr>
        <w:ind w:firstLine="709"/>
        <w:jc w:val="both"/>
      </w:pPr>
      <w:r>
        <w:t xml:space="preserve">Редкоземельные постоянные магниты (ПМ) на основе фазы </w:t>
      </w:r>
      <w:r>
        <w:rPr>
          <w:lang w:val="en-US"/>
        </w:rPr>
        <w:t>Nd</w:t>
      </w:r>
      <w:r w:rsidRPr="000137D5">
        <w:rPr>
          <w:vertAlign w:val="subscript"/>
        </w:rPr>
        <w:t>2</w:t>
      </w:r>
      <w:r>
        <w:rPr>
          <w:lang w:val="en-US"/>
        </w:rPr>
        <w:t>Fe</w:t>
      </w:r>
      <w:r w:rsidRPr="000137D5">
        <w:rPr>
          <w:vertAlign w:val="subscript"/>
        </w:rPr>
        <w:t>14</w:t>
      </w:r>
      <w:r>
        <w:rPr>
          <w:lang w:val="en-US"/>
        </w:rPr>
        <w:t>B</w:t>
      </w:r>
      <w:r w:rsidRPr="000137D5">
        <w:t xml:space="preserve"> </w:t>
      </w:r>
      <w:r>
        <w:t>наиболее востребованы для электродвигателей в составе электромобилей, электросамокатов, дронов и др. Активно продвигаются аддитивные технологии создания данного класса ПМ. Получаемые магниты имеют сложную гетерогенную микроструктуру, которая оказывает существенное влияние на фундаментальные параметры,</w:t>
      </w:r>
      <w:r w:rsidRPr="00CD4572">
        <w:t xml:space="preserve"> </w:t>
      </w:r>
      <w:r>
        <w:t xml:space="preserve">как обменный параметр </w:t>
      </w:r>
      <w:r w:rsidRPr="000B658B">
        <w:rPr>
          <w:i/>
          <w:iCs/>
          <w:lang w:val="en-US"/>
        </w:rPr>
        <w:t>A</w:t>
      </w:r>
      <w:r>
        <w:t>,</w:t>
      </w:r>
      <w:r w:rsidRPr="00CD4572">
        <w:t xml:space="preserve"> </w:t>
      </w:r>
      <w:r>
        <w:t xml:space="preserve">константа магнитокристаллической анизотропии </w:t>
      </w:r>
      <w:r w:rsidRPr="000B658B">
        <w:rPr>
          <w:i/>
          <w:iCs/>
          <w:lang w:val="en-US"/>
        </w:rPr>
        <w:t>K</w:t>
      </w:r>
      <w:r>
        <w:t xml:space="preserve"> и др., поэтому вопрос о механизме перемагничивания остается дискуссионным. Дальнейшее развитие данного направления требует детального представления о природе формирования высококоэрцитивного состояния.</w:t>
      </w:r>
    </w:p>
    <w:p w14:paraId="3EED15EE" w14:textId="77777777" w:rsidR="00AD42D6" w:rsidRPr="00961C07" w:rsidRDefault="00AD42D6" w:rsidP="00AD42D6">
      <w:pPr>
        <w:ind w:firstLine="709"/>
        <w:jc w:val="both"/>
      </w:pPr>
      <w:r w:rsidRPr="00961C07">
        <w:t xml:space="preserve">Для исследования выбраны </w:t>
      </w:r>
      <w:r>
        <w:t>наиболее</w:t>
      </w:r>
      <w:r w:rsidRPr="00961C07">
        <w:t xml:space="preserve"> распространенные марки </w:t>
      </w:r>
      <w:r w:rsidRPr="00961C07">
        <w:rPr>
          <w:lang w:val="en-US"/>
        </w:rPr>
        <w:t>N</w:t>
      </w:r>
      <w:r w:rsidRPr="00961C07">
        <w:t xml:space="preserve">35, </w:t>
      </w:r>
      <w:r w:rsidRPr="00961C07">
        <w:rPr>
          <w:lang w:val="en-US"/>
        </w:rPr>
        <w:t>N</w:t>
      </w:r>
      <w:r w:rsidRPr="00961C07">
        <w:t xml:space="preserve">48 и </w:t>
      </w:r>
      <w:r w:rsidRPr="00961C07">
        <w:rPr>
          <w:lang w:val="en-US"/>
        </w:rPr>
        <w:t>N</w:t>
      </w:r>
      <w:r w:rsidRPr="00961C07">
        <w:t>48</w:t>
      </w:r>
      <w:r w:rsidRPr="00961C07">
        <w:rPr>
          <w:lang w:val="en-US"/>
        </w:rPr>
        <w:t>SH</w:t>
      </w:r>
      <w:r w:rsidRPr="00961C07">
        <w:t xml:space="preserve"> </w:t>
      </w:r>
      <w:r>
        <w:t>постоянных магнитов</w:t>
      </w:r>
      <w:r w:rsidRPr="00961C07">
        <w:t xml:space="preserve"> типа </w:t>
      </w:r>
      <w:r w:rsidRPr="00961C07">
        <w:rPr>
          <w:lang w:val="en-US"/>
        </w:rPr>
        <w:t>Nd</w:t>
      </w:r>
      <w:r w:rsidRPr="00961C07">
        <w:t>-</w:t>
      </w:r>
      <w:r w:rsidRPr="00961C07">
        <w:rPr>
          <w:lang w:val="en-US"/>
        </w:rPr>
        <w:t>Fe</w:t>
      </w:r>
      <w:r w:rsidRPr="00961C07">
        <w:t>-</w:t>
      </w:r>
      <w:r w:rsidRPr="00961C07">
        <w:rPr>
          <w:lang w:val="en-US"/>
        </w:rPr>
        <w:t>B</w:t>
      </w:r>
      <w:r w:rsidRPr="0018653C">
        <w:t>,</w:t>
      </w:r>
      <w:r w:rsidRPr="00961C07">
        <w:t xml:space="preserve"> предоставленные предприятием ООО «ПОЗ – Прогресс». </w:t>
      </w:r>
      <w:r>
        <w:t>Исследование</w:t>
      </w:r>
      <w:r w:rsidRPr="00961C07">
        <w:t xml:space="preserve"> микроструктуры </w:t>
      </w:r>
      <w:r>
        <w:t xml:space="preserve">проведено </w:t>
      </w:r>
      <w:r w:rsidRPr="00961C07">
        <w:t xml:space="preserve">с помощью СЭМ и </w:t>
      </w:r>
      <w:r w:rsidRPr="00961C07">
        <w:rPr>
          <w:lang w:val="en-US"/>
        </w:rPr>
        <w:t>EDX</w:t>
      </w:r>
      <w:r w:rsidRPr="00961C07">
        <w:t xml:space="preserve"> анализа на микроскопе Tescan Mira3 LMU. </w:t>
      </w:r>
      <w:r>
        <w:t>З</w:t>
      </w:r>
      <w:r w:rsidRPr="00961C07">
        <w:t xml:space="preserve">ависимости коэрцитивной силы </w:t>
      </w:r>
      <w:r w:rsidRPr="00961C07">
        <w:rPr>
          <w:i/>
          <w:lang w:val="en-US"/>
        </w:rPr>
        <w:t>H</w:t>
      </w:r>
      <w:r w:rsidRPr="00961C07">
        <w:rPr>
          <w:vertAlign w:val="subscript"/>
          <w:lang w:val="en-US"/>
        </w:rPr>
        <w:t>c</w:t>
      </w:r>
      <w:r w:rsidRPr="00961C07">
        <w:t>(</w:t>
      </w:r>
      <w:r w:rsidRPr="00961C07">
        <w:rPr>
          <w:lang w:val="en-US"/>
        </w:rPr>
        <w:t>θ</w:t>
      </w:r>
      <w:r w:rsidRPr="00961C07">
        <w:t xml:space="preserve">) от угла </w:t>
      </w:r>
      <w:r>
        <w:t>отклонения</w:t>
      </w:r>
      <w:r w:rsidRPr="00961C07">
        <w:t xml:space="preserve"> </w:t>
      </w:r>
      <w:r w:rsidRPr="00961C07">
        <w:rPr>
          <w:lang w:val="en-US"/>
        </w:rPr>
        <w:t>θ</w:t>
      </w:r>
      <w:r w:rsidRPr="00961C07">
        <w:t xml:space="preserve"> размагничивающего поля</w:t>
      </w:r>
      <w:r>
        <w:t xml:space="preserve"> </w:t>
      </w:r>
      <w:r w:rsidRPr="002D6BFC">
        <w:rPr>
          <w:i/>
          <w:iCs/>
          <w:lang w:val="en-US"/>
        </w:rPr>
        <w:t>H</w:t>
      </w:r>
      <w:r w:rsidRPr="00961C07">
        <w:t xml:space="preserve"> к оси текстуры магнитов</w:t>
      </w:r>
      <w:r w:rsidRPr="002D6BFC">
        <w:t xml:space="preserve"> </w:t>
      </w:r>
      <w:r>
        <w:t>получены на вибрационном магнитометре КВАНС-1</w:t>
      </w:r>
      <w:r w:rsidRPr="00961C07">
        <w:t>.</w:t>
      </w:r>
    </w:p>
    <w:p w14:paraId="286F3410" w14:textId="77777777" w:rsidR="00AD42D6" w:rsidRPr="00961C07" w:rsidRDefault="00AD42D6" w:rsidP="00AD42D6">
      <w:pPr>
        <w:ind w:firstLine="709"/>
        <w:jc w:val="both"/>
      </w:pPr>
      <w:r w:rsidRPr="00961C07">
        <w:t xml:space="preserve">Одним из возможных подходов к исследованию механизмов </w:t>
      </w:r>
      <w:r>
        <w:t>перемагничивания</w:t>
      </w:r>
      <w:r w:rsidRPr="00961C07">
        <w:t xml:space="preserve"> в магнитотвердых материалах является анализ угловых зависимостей коэрцитивной силы </w:t>
      </w:r>
      <w:r w:rsidRPr="00961C07">
        <w:rPr>
          <w:i/>
          <w:lang w:val="en-US"/>
        </w:rPr>
        <w:t>H</w:t>
      </w:r>
      <w:r w:rsidRPr="00961C07">
        <w:rPr>
          <w:vertAlign w:val="subscript"/>
          <w:lang w:val="en-US"/>
        </w:rPr>
        <w:t>c</w:t>
      </w:r>
      <w:r w:rsidRPr="00961C07">
        <w:t>(</w:t>
      </w:r>
      <w:r w:rsidRPr="00961C07">
        <w:rPr>
          <w:lang w:val="en-US"/>
        </w:rPr>
        <w:t>θ</w:t>
      </w:r>
      <w:r w:rsidRPr="00961C07">
        <w:t>) в рамках моделей Кондорского для механизма задержки смещения доменных границ и Стонера-Вольфарта для задержки зародышеобразования и когерентного вращения векторов намагниченности</w:t>
      </w:r>
      <w:r>
        <w:t>.</w:t>
      </w:r>
      <w:r w:rsidRPr="00961C07">
        <w:t xml:space="preserve"> </w:t>
      </w:r>
      <w:r>
        <w:t>Д</w:t>
      </w:r>
      <w:r w:rsidRPr="00961C07">
        <w:t>ля реальных магнитов</w:t>
      </w:r>
      <w:r>
        <w:t xml:space="preserve"> </w:t>
      </w:r>
      <w:r w:rsidRPr="00961C07">
        <w:rPr>
          <w:i/>
          <w:lang w:val="en-US"/>
        </w:rPr>
        <w:t>H</w:t>
      </w:r>
      <w:r w:rsidRPr="00961C07">
        <w:rPr>
          <w:vertAlign w:val="subscript"/>
          <w:lang w:val="en-US"/>
        </w:rPr>
        <w:t>c</w:t>
      </w:r>
      <w:r w:rsidRPr="00961C07">
        <w:t>(</w:t>
      </w:r>
      <w:r w:rsidRPr="00961C07">
        <w:rPr>
          <w:lang w:val="en-US"/>
        </w:rPr>
        <w:t>θ</w:t>
      </w:r>
      <w:r w:rsidRPr="00961C07">
        <w:t xml:space="preserve">) зачастую не описываются в рамках </w:t>
      </w:r>
      <w:r>
        <w:t xml:space="preserve">приближения </w:t>
      </w:r>
      <w:r w:rsidRPr="00961C07">
        <w:t>данных моделей</w:t>
      </w:r>
      <w:r>
        <w:t xml:space="preserve"> ввиду того, что</w:t>
      </w:r>
      <w:r w:rsidRPr="00961C07">
        <w:t xml:space="preserve"> спеченные ПМ формируют сложную гетерогенную нано- и микроструктуру, что требует дополнительного учета магнитостатическо</w:t>
      </w:r>
      <w:r>
        <w:t>го</w:t>
      </w:r>
      <w:r w:rsidRPr="00961C07">
        <w:t xml:space="preserve"> и межзеренн</w:t>
      </w:r>
      <w:r>
        <w:t>ого</w:t>
      </w:r>
      <w:r w:rsidRPr="00961C07">
        <w:t xml:space="preserve"> обменно</w:t>
      </w:r>
      <w:r>
        <w:t>го</w:t>
      </w:r>
      <w:r w:rsidRPr="00961C07">
        <w:t xml:space="preserve"> взаимодействия.</w:t>
      </w:r>
    </w:p>
    <w:p w14:paraId="4D2D132B" w14:textId="77777777" w:rsidR="00AD42D6" w:rsidRPr="00961C07" w:rsidRDefault="00AD42D6" w:rsidP="00AD42D6">
      <w:pPr>
        <w:pStyle w:val="PMMmaintext"/>
        <w:rPr>
          <w:sz w:val="24"/>
        </w:rPr>
      </w:pPr>
      <w:r>
        <w:rPr>
          <w:sz w:val="24"/>
        </w:rPr>
        <w:t>В</w:t>
      </w:r>
      <w:r w:rsidRPr="00961C07">
        <w:rPr>
          <w:sz w:val="24"/>
        </w:rPr>
        <w:t xml:space="preserve"> случае</w:t>
      </w:r>
      <w:r>
        <w:rPr>
          <w:sz w:val="24"/>
        </w:rPr>
        <w:t xml:space="preserve"> преобладания</w:t>
      </w:r>
      <w:r w:rsidRPr="00961C07">
        <w:rPr>
          <w:sz w:val="24"/>
        </w:rPr>
        <w:t xml:space="preserve"> механизма задержки смещения доменной границы, в рамках модели Кондорского, коэрцитивная сила определяется проекцией размагничивающего поля</w:t>
      </w:r>
      <w:r>
        <w:rPr>
          <w:sz w:val="24"/>
        </w:rPr>
        <w:t xml:space="preserve"> </w:t>
      </w:r>
      <w:r w:rsidRPr="00CD4572">
        <w:rPr>
          <w:i/>
          <w:iCs/>
          <w:sz w:val="24"/>
          <w:lang w:val="en-US"/>
        </w:rPr>
        <w:t>H</w:t>
      </w:r>
      <w:r w:rsidRPr="00961C07">
        <w:rPr>
          <w:sz w:val="24"/>
        </w:rPr>
        <w:t xml:space="preserve"> на ось текстуры магнита, при этом угловая зависимость коэрцитивной силы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</w:rPr>
        <w:t xml:space="preserve">(θ) описывается </w:t>
      </w:r>
      <w:r>
        <w:rPr>
          <w:sz w:val="24"/>
        </w:rPr>
        <w:t>формулой</w:t>
      </w:r>
      <w:r w:rsidRPr="00961C07">
        <w:rPr>
          <w:sz w:val="24"/>
        </w:rPr>
        <w:t>:</w:t>
      </w:r>
    </w:p>
    <w:p w14:paraId="55452BCA" w14:textId="115FDA3B" w:rsidR="00567E13" w:rsidRDefault="00C06E91" w:rsidP="00AD42D6">
      <w:pPr>
        <w:ind w:firstLine="397"/>
        <w:jc w:val="right"/>
        <w:rPr>
          <w:iCs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c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(0)</m:t>
            </m:r>
          </m:num>
          <m:den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cos</m:t>
                </m:r>
              </m:fName>
              <m:e>
                <m:r>
                  <w:rPr>
                    <w:rFonts w:ascii="Cambria Math" w:hAnsi="Cambria Math"/>
                  </w:rPr>
                  <m:t>θ</m:t>
                </m:r>
              </m:e>
            </m:func>
          </m:den>
        </m:f>
        <m:r>
          <w:rPr>
            <w:rFonts w:ascii="Cambria Math"/>
          </w:rPr>
          <m:t>,</m:t>
        </m:r>
      </m:oMath>
      <w:r w:rsidR="00AD42D6">
        <w:rPr>
          <w:iCs/>
        </w:rPr>
        <w:tab/>
      </w:r>
      <w:r w:rsidR="00AD42D6">
        <w:rPr>
          <w:iCs/>
        </w:rPr>
        <w:tab/>
      </w:r>
      <w:r w:rsidR="00AD42D6">
        <w:rPr>
          <w:iCs/>
        </w:rPr>
        <w:tab/>
      </w:r>
      <w:r w:rsidR="00AD42D6">
        <w:rPr>
          <w:iCs/>
        </w:rPr>
        <w:tab/>
      </w:r>
      <w:r w:rsidR="00AD42D6">
        <w:rPr>
          <w:iCs/>
        </w:rPr>
        <w:tab/>
      </w:r>
      <w:r w:rsidR="00AD42D6">
        <w:rPr>
          <w:iCs/>
        </w:rPr>
        <w:tab/>
      </w:r>
      <w:r w:rsidR="0040718C" w:rsidRPr="00AD42D6">
        <w:rPr>
          <w:iCs/>
        </w:rPr>
        <w:t>(1)</w:t>
      </w:r>
    </w:p>
    <w:p w14:paraId="59ADD60C" w14:textId="51403528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t xml:space="preserve">где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r>
          <m:rPr>
            <m:sty m:val="p"/>
          </m:rPr>
          <w:rPr>
            <w:rFonts w:ascii="Cambria Math" w:hAnsi="Cambria Math"/>
          </w:rPr>
          <m:t>(0)</m:t>
        </m:r>
      </m:oMath>
      <w:r w:rsidRPr="00961C07">
        <w:rPr>
          <w:sz w:val="24"/>
        </w:rPr>
        <w:t xml:space="preserve"> – величина коэрцитивной силы вдоль оси текстуры.</w:t>
      </w:r>
    </w:p>
    <w:p w14:paraId="7CF97940" w14:textId="77777777" w:rsidR="00AD42D6" w:rsidRDefault="00AD42D6" w:rsidP="00AD42D6">
      <w:pPr>
        <w:pStyle w:val="PMMmaintext"/>
        <w:rPr>
          <w:sz w:val="24"/>
        </w:rPr>
      </w:pPr>
      <w:r>
        <w:rPr>
          <w:sz w:val="24"/>
        </w:rPr>
        <w:t>Ф</w:t>
      </w:r>
      <w:r w:rsidRPr="00961C07">
        <w:rPr>
          <w:sz w:val="24"/>
        </w:rPr>
        <w:t>ормирования локальных дефектов</w:t>
      </w:r>
      <w:r>
        <w:rPr>
          <w:sz w:val="24"/>
        </w:rPr>
        <w:t xml:space="preserve"> микроструктуры приводит к</w:t>
      </w:r>
      <w:r w:rsidRPr="005F3D81">
        <w:rPr>
          <w:sz w:val="24"/>
        </w:rPr>
        <w:t xml:space="preserve"> </w:t>
      </w:r>
      <w:r>
        <w:rPr>
          <w:sz w:val="24"/>
        </w:rPr>
        <w:t>р</w:t>
      </w:r>
      <w:r w:rsidRPr="00961C07">
        <w:rPr>
          <w:sz w:val="24"/>
        </w:rPr>
        <w:t>аспределени</w:t>
      </w:r>
      <w:r>
        <w:rPr>
          <w:sz w:val="24"/>
        </w:rPr>
        <w:t>ю</w:t>
      </w:r>
      <w:r w:rsidRPr="00961C07">
        <w:rPr>
          <w:sz w:val="24"/>
        </w:rPr>
        <w:t xml:space="preserve"> зерен </w:t>
      </w:r>
      <w:r>
        <w:rPr>
          <w:sz w:val="24"/>
        </w:rPr>
        <w:t>ПМ</w:t>
      </w:r>
      <w:r w:rsidRPr="00961C07">
        <w:rPr>
          <w:sz w:val="24"/>
        </w:rPr>
        <w:t xml:space="preserve"> по</w:t>
      </w:r>
      <w:r>
        <w:rPr>
          <w:sz w:val="24"/>
        </w:rPr>
        <w:t xml:space="preserve"> величине</w:t>
      </w:r>
      <w:r w:rsidRPr="00961C07">
        <w:rPr>
          <w:sz w:val="24"/>
        </w:rPr>
        <w:t xml:space="preserve"> коэрци</w:t>
      </w:r>
      <w:r>
        <w:rPr>
          <w:sz w:val="24"/>
        </w:rPr>
        <w:t xml:space="preserve">тивной силе, что </w:t>
      </w:r>
      <w:r w:rsidRPr="00961C07">
        <w:rPr>
          <w:sz w:val="24"/>
        </w:rPr>
        <w:t xml:space="preserve">приводит к перемагничиванию </w:t>
      </w:r>
      <w:r>
        <w:rPr>
          <w:sz w:val="24"/>
        </w:rPr>
        <w:t>части</w:t>
      </w:r>
      <w:r w:rsidRPr="00961C07">
        <w:rPr>
          <w:sz w:val="24"/>
        </w:rPr>
        <w:t xml:space="preserve"> зерен в сравнительно слабых магнитных полях. В модели Кондорского учитывается, что на уже перемагниченный объем образца действует только проекция внешнего размагничивающего поля</w:t>
      </w:r>
      <w:r>
        <w:rPr>
          <w:sz w:val="24"/>
        </w:rPr>
        <w:t xml:space="preserve"> </w:t>
      </w:r>
      <w:r w:rsidRPr="004A2C01">
        <w:rPr>
          <w:i/>
          <w:iCs/>
          <w:sz w:val="24"/>
          <w:lang w:val="en-US"/>
        </w:rPr>
        <w:t>H</w:t>
      </w:r>
      <w:r w:rsidRPr="00961C07">
        <w:rPr>
          <w:sz w:val="24"/>
        </w:rPr>
        <w:t xml:space="preserve"> под углом </w:t>
      </w:r>
      <w:r w:rsidRPr="00961C07">
        <w:rPr>
          <w:iCs/>
          <w:sz w:val="24"/>
        </w:rPr>
        <w:t>θ</w:t>
      </w:r>
      <w:r w:rsidRPr="00961C07">
        <w:rPr>
          <w:sz w:val="24"/>
        </w:rPr>
        <w:t xml:space="preserve"> к оси текстуры. При этом в </w:t>
      </w:r>
      <w:r>
        <w:rPr>
          <w:sz w:val="24"/>
        </w:rPr>
        <w:t xml:space="preserve">данной </w:t>
      </w:r>
      <w:r w:rsidRPr="00961C07">
        <w:rPr>
          <w:sz w:val="24"/>
        </w:rPr>
        <w:t xml:space="preserve">модели не учитывается, что перемагниченный объем или заряженная доменная стенка создает собственное локальное магнитное поле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loc</w:t>
      </w:r>
      <w:r w:rsidRPr="00961C07">
        <w:rPr>
          <w:sz w:val="24"/>
        </w:rPr>
        <w:t xml:space="preserve"> ≈ 4π</w:t>
      </w:r>
      <w:r w:rsidRPr="004A2C01">
        <w:rPr>
          <w:i/>
          <w:sz w:val="24"/>
          <w:lang w:val="en-US"/>
        </w:rPr>
        <w:t>M</w:t>
      </w:r>
      <w:r w:rsidRPr="00961C07">
        <w:rPr>
          <w:sz w:val="24"/>
          <w:vertAlign w:val="subscript"/>
          <w:lang w:val="en-US"/>
        </w:rPr>
        <w:t>s</w:t>
      </w:r>
      <w:r w:rsidRPr="00961C07">
        <w:rPr>
          <w:sz w:val="24"/>
        </w:rPr>
        <w:t xml:space="preserve">, направленное вдоль оси текстуры. Учитывая этот факт, доменная стенка и домен вблизи нее оказываются под действием не только внешнего размагничивающего поля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ext</w:t>
      </w:r>
      <w:r w:rsidRPr="00961C07">
        <w:rPr>
          <w:sz w:val="24"/>
        </w:rPr>
        <w:t xml:space="preserve">, а суперпозиции полей, которую можно обозначить, как эффективное поле </w:t>
      </w:r>
      <w:r w:rsidRPr="00CD4572">
        <w:rPr>
          <w:bCs/>
          <w:i/>
          <w:sz w:val="24"/>
          <w:lang w:val="en-US"/>
        </w:rPr>
        <w:t>H</w:t>
      </w:r>
      <w:r w:rsidRPr="00CD4572">
        <w:rPr>
          <w:bCs/>
          <w:sz w:val="24"/>
          <w:vertAlign w:val="subscript"/>
          <w:lang w:val="en-US"/>
        </w:rPr>
        <w:t>eff</w:t>
      </w:r>
      <w:r w:rsidRPr="00961C07">
        <w:rPr>
          <w:sz w:val="24"/>
        </w:rPr>
        <w:t>.</w:t>
      </w:r>
    </w:p>
    <w:p w14:paraId="09AD85DD" w14:textId="77777777" w:rsidR="00AD42D6" w:rsidRPr="004A2C01" w:rsidRDefault="00AD42D6" w:rsidP="00AD42D6">
      <w:pPr>
        <w:pStyle w:val="PMMmaintext"/>
        <w:rPr>
          <w:sz w:val="24"/>
        </w:rPr>
      </w:pPr>
      <w:r>
        <w:rPr>
          <w:sz w:val="24"/>
        </w:rPr>
        <w:t>Э</w:t>
      </w:r>
      <w:r w:rsidRPr="00961C07">
        <w:rPr>
          <w:sz w:val="24"/>
        </w:rPr>
        <w:t xml:space="preserve">ффективное </w:t>
      </w:r>
      <w:r>
        <w:rPr>
          <w:sz w:val="24"/>
        </w:rPr>
        <w:t xml:space="preserve">размагничивающее </w:t>
      </w:r>
      <w:r w:rsidRPr="00961C07">
        <w:rPr>
          <w:sz w:val="24"/>
        </w:rPr>
        <w:t>поле</w:t>
      </w:r>
      <w:r w:rsidRPr="004A2C01">
        <w:rPr>
          <w:sz w:val="24"/>
        </w:rPr>
        <w:t xml:space="preserve"> </w:t>
      </w:r>
      <w:r w:rsidRPr="00CD4572">
        <w:rPr>
          <w:i/>
          <w:iCs/>
          <w:sz w:val="24"/>
          <w:lang w:val="en-US"/>
        </w:rPr>
        <w:t>H</w:t>
      </w:r>
      <w:r w:rsidRPr="004A2C01">
        <w:rPr>
          <w:sz w:val="24"/>
          <w:vertAlign w:val="subscript"/>
          <w:lang w:val="en-US"/>
        </w:rPr>
        <w:t>eff</w:t>
      </w:r>
      <w:r>
        <w:rPr>
          <w:sz w:val="24"/>
        </w:rPr>
        <w:t xml:space="preserve"> обозначим,</w:t>
      </w:r>
      <w:r w:rsidRPr="00961C07">
        <w:rPr>
          <w:sz w:val="24"/>
        </w:rPr>
        <w:t xml:space="preserve"> как векторную сумму</w:t>
      </w:r>
      <w:r w:rsidRPr="004A2C01">
        <w:rPr>
          <w:sz w:val="24"/>
        </w:rPr>
        <w:t>,</w:t>
      </w:r>
    </w:p>
    <w:p w14:paraId="60F51B44" w14:textId="232BBB41" w:rsidR="00AD42D6" w:rsidRPr="00961C07" w:rsidRDefault="00C06E91" w:rsidP="00AD42D6">
      <w:pPr>
        <w:pStyle w:val="PMMmaintext"/>
        <w:jc w:val="right"/>
        <w:rPr>
          <w:sz w:val="24"/>
        </w:rPr>
      </w:pPr>
      <m:oMath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eff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=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ext</m:t>
                </m:r>
              </m:sub>
            </m:sSub>
          </m:e>
        </m:acc>
        <m:r>
          <m:rPr>
            <m:sty m:val="p"/>
          </m:rPr>
          <w:rPr>
            <w:rFonts w:ascii="Cambria Math" w:hAnsi="Cambria Math"/>
          </w:rPr>
          <m:t>+</m:t>
        </m:r>
        <m:acc>
          <m:accPr>
            <m:chr m:val="⃗"/>
            <m:ctrlPr>
              <w:rPr>
                <w:rFonts w:ascii="Cambria Math" w:hAnsi="Cambria Math"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loc</m:t>
                </m:r>
              </m:sub>
            </m:sSub>
          </m:e>
        </m:acc>
      </m:oMath>
      <w:r w:rsidR="00AD42D6" w:rsidRPr="00961C07">
        <w:rPr>
          <w:sz w:val="24"/>
        </w:rPr>
        <w:t>,</w:t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  <w:t>(2)</w:t>
      </w:r>
    </w:p>
    <w:p w14:paraId="3623F172" w14:textId="77777777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lastRenderedPageBreak/>
        <w:t>тогда модуль напряженности магнитного поля может быть записан как:</w:t>
      </w:r>
    </w:p>
    <w:p w14:paraId="1BF271EA" w14:textId="33D55D2C" w:rsidR="00AD42D6" w:rsidRDefault="00C06E91" w:rsidP="00AD42D6">
      <w:pPr>
        <w:ind w:firstLine="397"/>
        <w:jc w:val="right"/>
        <w:rPr>
          <w:rFonts w:eastAsia="MS Mincho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loc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ext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bSup>
            <m:r>
              <m:rPr>
                <m:sty m:val="p"/>
              </m:rPr>
              <w:rPr>
                <w:rFonts w:ascii="Cambria Math" w:hAnsi="Cambria Math"/>
              </w:rPr>
              <m:t>-2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loc</m:t>
                </m:r>
              </m:sub>
            </m:sSub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H</m:t>
                </m:r>
              </m:e>
              <m:sub>
                <m:r>
                  <w:rPr>
                    <w:rFonts w:ascii="Cambria Math" w:hAnsi="Cambria Math"/>
                  </w:rPr>
                  <m:t>ext</m:t>
                </m:r>
              </m:sub>
            </m:sSub>
            <m:func>
              <m:funcPr>
                <m:ctrlPr>
                  <w:rPr>
                    <w:rFonts w:ascii="Cambria Math" w:hAnsi="Cambria Math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cos</m:t>
                </m:r>
              </m:fName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(</m:t>
                </m:r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e>
            </m:func>
            <m:r>
              <m:rPr>
                <m:sty m:val="p"/>
              </m:rPr>
              <w:rPr>
                <w:rFonts w:ascii="Cambria Math" w:hAnsi="Cambria Math"/>
              </w:rPr>
              <m:t>)</m:t>
            </m:r>
          </m:e>
          <m:sup>
            <m:box>
              <m:boxPr>
                <m:ctrlPr>
                  <w:rPr>
                    <w:rFonts w:ascii="Cambria Math" w:hAnsi="Cambria Math"/>
                  </w:rPr>
                </m:ctrlPr>
              </m:boxPr>
              <m:e>
                <m:argPr>
                  <m:argSz m:val="-1"/>
                </m:argP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box>
          </m:sup>
        </m:sSup>
      </m:oMath>
      <w:r w:rsidR="00AD42D6">
        <w:rPr>
          <w:rFonts w:eastAsia="MS Mincho"/>
        </w:rPr>
        <w:t xml:space="preserve">, </w:t>
      </w:r>
      <w:r w:rsidR="00AD42D6">
        <w:rPr>
          <w:rFonts w:eastAsia="MS Mincho"/>
        </w:rPr>
        <w:tab/>
      </w:r>
      <w:r w:rsidR="00AD42D6">
        <w:rPr>
          <w:rFonts w:eastAsia="MS Mincho"/>
        </w:rPr>
        <w:tab/>
        <w:t>(3)</w:t>
      </w:r>
    </w:p>
    <w:p w14:paraId="3F08ED22" w14:textId="77777777" w:rsidR="00AD42D6" w:rsidRDefault="00AD42D6" w:rsidP="00AD42D6">
      <w:pPr>
        <w:ind w:firstLine="397"/>
        <w:jc w:val="right"/>
      </w:pPr>
    </w:p>
    <w:p w14:paraId="547E03FF" w14:textId="77777777" w:rsidR="00AD42D6" w:rsidRDefault="00AD42D6" w:rsidP="00AD42D6">
      <w:pPr>
        <w:pStyle w:val="PMMmaintext"/>
        <w:rPr>
          <w:sz w:val="24"/>
        </w:rPr>
      </w:pPr>
      <w:r>
        <w:rPr>
          <w:sz w:val="24"/>
        </w:rPr>
        <w:t>У</w:t>
      </w:r>
      <w:r w:rsidRPr="00961C07">
        <w:rPr>
          <w:sz w:val="24"/>
        </w:rPr>
        <w:t xml:space="preserve">гол между направлением эффективного магнитного поля и ближайшим направлением оси текстуры </w:t>
      </w:r>
      <w:r>
        <w:rPr>
          <w:sz w:val="24"/>
        </w:rPr>
        <w:t xml:space="preserve">выражается </w:t>
      </w:r>
      <w:r w:rsidRPr="00961C07">
        <w:rPr>
          <w:sz w:val="24"/>
        </w:rPr>
        <w:t>как:</w:t>
      </w:r>
    </w:p>
    <w:p w14:paraId="016C34E4" w14:textId="44C3E25C" w:rsidR="00AD42D6" w:rsidRDefault="00C06E91" w:rsidP="00AD42D6">
      <w:pPr>
        <w:pStyle w:val="PMMmaintext"/>
        <w:jc w:val="right"/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=arcsin(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ext</m:t>
            </m:r>
          </m:sub>
        </m:sSub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π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θ</m:t>
                </m:r>
              </m:e>
            </m:d>
          </m:e>
        </m:func>
        <m:r>
          <m:rPr>
            <m:sty m:val="p"/>
          </m:rPr>
          <w:rPr>
            <w:rFonts w:ascii="Cambria Math" w:hAnsi="Cambria Math"/>
          </w:rPr>
          <m:t>/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eff</m:t>
            </m: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 w:rsidR="00AD42D6" w:rsidRPr="00AD42D6">
        <w:rPr>
          <w:lang w:val="en-US"/>
        </w:rPr>
        <w:t xml:space="preserve">, </w:t>
      </w:r>
      <w:r w:rsidR="00AD42D6" w:rsidRPr="00AD42D6">
        <w:rPr>
          <w:lang w:val="en-US"/>
        </w:rPr>
        <w:tab/>
      </w:r>
      <w:r w:rsidR="00AD42D6">
        <w:tab/>
      </w:r>
      <w:r w:rsidR="00AD42D6">
        <w:tab/>
      </w:r>
      <w:r w:rsidR="00AD42D6" w:rsidRPr="00AD42D6">
        <w:rPr>
          <w:lang w:val="en-US"/>
        </w:rPr>
        <w:tab/>
        <w:t>(4)</w:t>
      </w:r>
    </w:p>
    <w:p w14:paraId="2F35CDD8" w14:textId="77777777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t>Рассмотрим новую угловую зависимость коэрцитивной силы в приближении:</w:t>
      </w:r>
    </w:p>
    <w:p w14:paraId="3E26A818" w14:textId="0A7BA472" w:rsidR="00AD42D6" w:rsidRPr="00961C07" w:rsidRDefault="00C06E91" w:rsidP="00AD42D6">
      <w:pPr>
        <w:pStyle w:val="PMMmaintext"/>
        <w:ind w:firstLine="1701"/>
        <w:jc w:val="right"/>
        <w:rPr>
          <w:sz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loc</m:t>
            </m:r>
          </m:sub>
        </m:sSub>
        <m:r>
          <m:rPr>
            <m:sty m:val="p"/>
          </m:rPr>
          <w:rPr>
            <w:rFonts w:ascii="Cambria Math" w:hAnsi="Cambria Math"/>
          </w:rPr>
          <m:t>=4</m:t>
        </m:r>
        <m:r>
          <w:rPr>
            <w:rFonts w:ascii="Cambria Math" w:hAnsi="Cambria Math"/>
          </w:rPr>
          <m:t>π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s</m:t>
            </m:r>
          </m:sub>
        </m:sSub>
      </m:oMath>
      <w:r w:rsidR="00AD42D6">
        <w:rPr>
          <w:sz w:val="24"/>
        </w:rPr>
        <w:t>,</w:t>
      </w:r>
      <w:r w:rsidR="00AD42D6" w:rsidRPr="00961C07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 w:rsidRPr="00961C07">
        <w:rPr>
          <w:sz w:val="24"/>
        </w:rPr>
        <w:t>(5)</w:t>
      </w:r>
    </w:p>
    <w:p w14:paraId="6C0B70C7" w14:textId="74232D70" w:rsidR="00AD42D6" w:rsidRPr="00961C07" w:rsidRDefault="00C06E91" w:rsidP="00AD42D6">
      <w:pPr>
        <w:pStyle w:val="PMMmaintext"/>
        <w:ind w:firstLine="1701"/>
        <w:jc w:val="right"/>
        <w:rPr>
          <w:sz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ext</m:t>
            </m: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H</m:t>
            </m:r>
          </m:e>
          <m:sub>
            <m:r>
              <w:rPr>
                <w:rFonts w:ascii="Cambria Math" w:hAnsi="Cambria Math"/>
                <w:lang w:val="en-US"/>
              </w:rPr>
              <m:t>c</m:t>
            </m:r>
          </m:sub>
        </m:sSub>
      </m:oMath>
      <w:r w:rsidR="00AD42D6">
        <w:rPr>
          <w:sz w:val="24"/>
        </w:rPr>
        <w:t>,</w:t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 w:rsidRPr="00961C07">
        <w:rPr>
          <w:sz w:val="24"/>
        </w:rPr>
        <w:tab/>
        <w:t>(6)</w:t>
      </w:r>
    </w:p>
    <w:p w14:paraId="0DF2728A" w14:textId="77777777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t xml:space="preserve">Введем параметр </w:t>
      </w:r>
      <w:r w:rsidRPr="00961C07">
        <w:rPr>
          <w:i/>
          <w:sz w:val="24"/>
          <w:lang w:val="en-US"/>
        </w:rPr>
        <w:t>k</w:t>
      </w:r>
      <w:r w:rsidRPr="00961C07">
        <w:rPr>
          <w:sz w:val="24"/>
        </w:rPr>
        <w:t xml:space="preserve">, соответствующий отношению коэрцитивной силы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</w:rPr>
        <w:t xml:space="preserve"> к внутреннему полю в зерне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loc</w:t>
      </w:r>
    </w:p>
    <w:p w14:paraId="2920CF82" w14:textId="6CA4CBBC" w:rsidR="00AD42D6" w:rsidRDefault="00C06E91" w:rsidP="00AD42D6">
      <w:pPr>
        <w:pStyle w:val="PMMmaintext"/>
        <w:jc w:val="right"/>
      </w:pPr>
      <m:oMath>
        <m:r>
          <w:rPr>
            <w:rFonts w:ascii="Cambria Math" w:hAnsi="Cambria Math"/>
            <w:lang w:val="en-US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H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c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r>
              <w:rPr>
                <w:rFonts w:ascii="Cambria Math" w:hAnsi="Cambria Math"/>
                <w:lang w:val="en-US"/>
              </w:rPr>
              <m:t>π</m:t>
            </m:r>
            <m:sSub>
              <m:sSubPr>
                <m:ctrlPr>
                  <w:rPr>
                    <w:rFonts w:ascii="Cambria Math" w:hAnsi="Cambria Math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s</m:t>
                </m:r>
              </m:sub>
            </m:sSub>
          </m:den>
        </m:f>
      </m:oMath>
      <w:r w:rsidR="00AD42D6" w:rsidRPr="00AD42D6">
        <w:rPr>
          <w:lang w:val="en-US"/>
        </w:rPr>
        <w:t xml:space="preserve">, </w:t>
      </w:r>
      <w:r w:rsidR="00AD42D6" w:rsidRPr="00AD42D6">
        <w:rPr>
          <w:lang w:val="en-US"/>
        </w:rPr>
        <w:tab/>
      </w:r>
      <w:r w:rsidR="00AD42D6">
        <w:tab/>
      </w:r>
      <w:r w:rsidR="00AD42D6">
        <w:tab/>
      </w:r>
      <w:r w:rsidR="00AD42D6" w:rsidRPr="00AD42D6">
        <w:rPr>
          <w:lang w:val="en-US"/>
        </w:rPr>
        <w:t>(7)</w:t>
      </w:r>
    </w:p>
    <w:p w14:paraId="6AC56A9E" w14:textId="77777777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t>Выражение для эффективного угла θ* для внешнего размагничивающего поля относительно оси текстуры магнита примет следующий вид:</w:t>
      </w:r>
    </w:p>
    <w:p w14:paraId="329818AD" w14:textId="77987B17" w:rsidR="00AD42D6" w:rsidRPr="00AD42D6" w:rsidRDefault="00C06E91" w:rsidP="00AD42D6">
      <w:pPr>
        <w:pStyle w:val="PMMmaintext"/>
        <w:jc w:val="right"/>
        <w:rPr>
          <w:lang w:val="en-US"/>
        </w:rPr>
      </w:pPr>
      <m:oMath>
        <m:sSup>
          <m:sSupPr>
            <m:ctrlPr>
              <w:rPr>
                <w:rFonts w:ascii="Cambria Math" w:hAnsi="Cambria Math"/>
                <w:iCs/>
              </w:rPr>
            </m:ctrlPr>
          </m:sSupPr>
          <m:e>
            <m:r>
              <w:rPr>
                <w:rFonts w:ascii="Cambria Math" w:hAnsi="Cambria Math"/>
              </w:rPr>
              <m:t>θ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*</m:t>
            </m:r>
          </m:sup>
        </m:sSup>
        <m:r>
          <m:rPr>
            <m:sty m:val="p"/>
          </m:rPr>
          <w:rPr>
            <w:rFonts w:ascii="Cambria Math" w:hAnsi="Cambria Math"/>
          </w:rPr>
          <m:t>=arcsin⁡(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k</m:t>
            </m:r>
            <m:func>
              <m:funcPr>
                <m:ctrlPr>
                  <w:rPr>
                    <w:rFonts w:ascii="Cambria Math" w:hAnsi="Cambria Math"/>
                    <w:iCs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lang w:val="en-US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Cs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θ</m:t>
                    </m:r>
                  </m:e>
                </m:d>
              </m:e>
            </m:func>
          </m:num>
          <m:den>
            <m:rad>
              <m:radPr>
                <m:degHide m:val="1"/>
                <m:ctrlPr>
                  <w:rPr>
                    <w:rFonts w:ascii="Cambria Math" w:hAnsi="Cambria Math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+2</m:t>
                </m:r>
                <m:r>
                  <w:rPr>
                    <w:rFonts w:ascii="Cambria Math" w:hAnsi="Cambria Math"/>
                  </w:rPr>
                  <m:t>k</m:t>
                </m:r>
                <m:func>
                  <m:funcPr>
                    <m:ctrlPr>
                      <w:rPr>
                        <w:rFonts w:ascii="Cambria Math" w:hAnsi="Cambria Math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lang w:val="en-US"/>
                      </w:rPr>
                      <m:t>cos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(</m:t>
                    </m:r>
                    <m:r>
                      <w:rPr>
                        <w:rFonts w:ascii="Cambria Math" w:hAnsi="Cambria Math"/>
                      </w:rPr>
                      <m:t>θ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)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</w:rPr>
                  <m:t>+1</m:t>
                </m:r>
              </m:e>
            </m:rad>
          </m:den>
        </m:f>
        <m:r>
          <m:rPr>
            <m:sty m:val="p"/>
          </m:rPr>
          <w:rPr>
            <w:rFonts w:ascii="Cambria Math" w:hAnsi="Cambria Math"/>
          </w:rPr>
          <m:t>)</m:t>
        </m:r>
      </m:oMath>
      <w:r w:rsidR="00AD42D6" w:rsidRPr="00AD42D6">
        <w:rPr>
          <w:lang w:val="en-US"/>
        </w:rPr>
        <w:t>,</w:t>
      </w:r>
      <w:r w:rsidR="00AD42D6">
        <w:tab/>
      </w:r>
      <w:r w:rsidR="00AD42D6">
        <w:tab/>
      </w:r>
      <w:r w:rsidR="00AD42D6">
        <w:tab/>
      </w:r>
      <w:r w:rsidR="00AD42D6">
        <w:tab/>
      </w:r>
      <w:r w:rsidR="00AD42D6" w:rsidRPr="00AD42D6">
        <w:rPr>
          <w:lang w:val="en-US"/>
        </w:rPr>
        <w:t>(8)</w:t>
      </w:r>
    </w:p>
    <w:p w14:paraId="0FF76045" w14:textId="77777777" w:rsidR="00AD42D6" w:rsidRPr="00961C07" w:rsidRDefault="00AD42D6" w:rsidP="00AD42D6">
      <w:pPr>
        <w:pStyle w:val="PMMmaintext"/>
        <w:rPr>
          <w:sz w:val="24"/>
        </w:rPr>
      </w:pPr>
      <w:r w:rsidRPr="00961C07">
        <w:rPr>
          <w:sz w:val="24"/>
        </w:rPr>
        <w:t xml:space="preserve">Далее перестраиваем угловую зависимость коэрцитивной силы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</w:rPr>
        <w:t xml:space="preserve"> от нового угла </w:t>
      </w:r>
      <w:r w:rsidRPr="00961C07">
        <w:rPr>
          <w:iCs/>
          <w:sz w:val="24"/>
        </w:rPr>
        <w:t>θ*</w:t>
      </w:r>
      <w:r w:rsidRPr="00961C07">
        <w:rPr>
          <w:iCs/>
          <w:sz w:val="24"/>
          <w:vertAlign w:val="subscript"/>
        </w:rPr>
        <w:t xml:space="preserve">, </w:t>
      </w:r>
      <w:r w:rsidRPr="00961C07">
        <w:rPr>
          <w:iCs/>
          <w:sz w:val="24"/>
        </w:rPr>
        <w:t xml:space="preserve">как новую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  <w:vertAlign w:val="superscript"/>
        </w:rPr>
        <w:t>*</w:t>
      </w:r>
      <w:r w:rsidRPr="00961C07">
        <w:rPr>
          <w:iCs/>
          <w:sz w:val="24"/>
        </w:rPr>
        <w:t xml:space="preserve"> в координатах приложения внешнего поля θ:</w:t>
      </w:r>
    </w:p>
    <w:p w14:paraId="2034EC1E" w14:textId="1FAC74B3" w:rsidR="00AD42D6" w:rsidRPr="00961C07" w:rsidRDefault="00C06E91" w:rsidP="00AD42D6">
      <w:pPr>
        <w:pStyle w:val="PMMmaintext"/>
        <w:ind w:firstLine="1701"/>
        <w:jc w:val="right"/>
        <w:rPr>
          <w:sz w:val="24"/>
        </w:r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</m:sSub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θ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</w:rPr>
          <m:t>→</m:t>
        </m:r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c</m:t>
            </m:r>
          </m:sub>
          <m:sup>
            <m:r>
              <w:rPr>
                <w:rFonts w:ascii="Cambria Math" w:hAnsi="Cambria Math"/>
              </w:rPr>
              <m:t>*</m:t>
            </m:r>
          </m:sup>
        </m:sSubSup>
        <m:r>
          <w:rPr>
            <w:rFonts w:ascii="Cambria Math" w:hAnsi="Cambria Math"/>
          </w:rPr>
          <m:t>(</m:t>
        </m:r>
        <m:r>
          <m:rPr>
            <m:sty m:val="p"/>
          </m:rPr>
          <w:rPr>
            <w:rFonts w:ascii="Cambria Math" w:hAnsi="Cambria Math"/>
          </w:rPr>
          <m:t>θ</m:t>
        </m:r>
        <m:r>
          <w:rPr>
            <w:rFonts w:ascii="Cambria Math" w:hAnsi="Cambria Math"/>
          </w:rPr>
          <m:t>)</m:t>
        </m:r>
      </m:oMath>
      <w:r w:rsidR="00AD42D6">
        <w:rPr>
          <w:sz w:val="24"/>
        </w:rPr>
        <w:t>,</w:t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>
        <w:rPr>
          <w:sz w:val="24"/>
        </w:rPr>
        <w:tab/>
      </w:r>
      <w:r w:rsidR="00AD42D6" w:rsidRPr="00961C07">
        <w:rPr>
          <w:sz w:val="24"/>
        </w:rPr>
        <w:tab/>
        <w:t>(9)</w:t>
      </w:r>
    </w:p>
    <w:p w14:paraId="29530574" w14:textId="77777777" w:rsidR="003C32ED" w:rsidRPr="00A02C3A" w:rsidRDefault="003C32ED" w:rsidP="003C32ED">
      <w:pPr>
        <w:pStyle w:val="PMMmaintext"/>
        <w:rPr>
          <w:sz w:val="24"/>
        </w:rPr>
      </w:pPr>
      <w:r w:rsidRPr="00961C07">
        <w:rPr>
          <w:sz w:val="24"/>
        </w:rPr>
        <w:t xml:space="preserve">Предложенную модификацию </w:t>
      </w:r>
      <w:r>
        <w:rPr>
          <w:sz w:val="24"/>
        </w:rPr>
        <w:t>модели Кондорского, представленную на рисунке 1,</w:t>
      </w:r>
      <w:r w:rsidRPr="00961C07">
        <w:rPr>
          <w:sz w:val="24"/>
        </w:rPr>
        <w:t xml:space="preserve"> можно трактовать, как «растяжение» зависимости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</w:rPr>
        <w:t>(</w:t>
      </w:r>
      <w:r w:rsidRPr="00961C07">
        <w:rPr>
          <w:iCs/>
          <w:sz w:val="24"/>
        </w:rPr>
        <w:t>θ</w:t>
      </w:r>
      <w:r w:rsidRPr="00961C07">
        <w:rPr>
          <w:sz w:val="24"/>
        </w:rPr>
        <w:t xml:space="preserve">) вдоль </w:t>
      </w:r>
      <w:r>
        <w:rPr>
          <w:sz w:val="24"/>
        </w:rPr>
        <w:t>угла приложения поля под влиянием магнитостатического взаимодействия соседних зерен</w:t>
      </w:r>
      <w:r w:rsidRPr="00961C07">
        <w:rPr>
          <w:sz w:val="24"/>
        </w:rPr>
        <w:t>.</w:t>
      </w:r>
      <w:r>
        <w:rPr>
          <w:sz w:val="24"/>
        </w:rPr>
        <w:t xml:space="preserve"> Для реальных магнитов типа </w:t>
      </w:r>
      <w:r>
        <w:rPr>
          <w:sz w:val="24"/>
          <w:lang w:val="en-US"/>
        </w:rPr>
        <w:t>Nd</w:t>
      </w:r>
      <w:r w:rsidRPr="00A02C3A">
        <w:rPr>
          <w:sz w:val="24"/>
        </w:rPr>
        <w:t>-</w:t>
      </w:r>
      <w:r>
        <w:rPr>
          <w:sz w:val="24"/>
          <w:lang w:val="en-US"/>
        </w:rPr>
        <w:t>Fe</w:t>
      </w:r>
      <w:r w:rsidRPr="00A02C3A">
        <w:rPr>
          <w:sz w:val="24"/>
        </w:rPr>
        <w:t>-</w:t>
      </w:r>
      <w:r>
        <w:rPr>
          <w:sz w:val="24"/>
          <w:lang w:val="en-US"/>
        </w:rPr>
        <w:t>B</w:t>
      </w:r>
      <w:r w:rsidRPr="00A02C3A">
        <w:rPr>
          <w:sz w:val="24"/>
        </w:rPr>
        <w:t xml:space="preserve"> </w:t>
      </w:r>
      <w:r>
        <w:rPr>
          <w:sz w:val="24"/>
        </w:rPr>
        <w:t xml:space="preserve">параметр </w:t>
      </w:r>
      <w:r w:rsidRPr="00A02C3A">
        <w:rPr>
          <w:i/>
          <w:iCs/>
          <w:sz w:val="24"/>
          <w:lang w:val="en-US"/>
        </w:rPr>
        <w:t>k</w:t>
      </w:r>
      <w:r w:rsidRPr="00A02C3A">
        <w:rPr>
          <w:sz w:val="24"/>
        </w:rPr>
        <w:t xml:space="preserve"> </w:t>
      </w:r>
      <w:r>
        <w:rPr>
          <w:sz w:val="24"/>
        </w:rPr>
        <w:t xml:space="preserve">находится в пределах 2 – 2,5. Полученное распределение </w:t>
      </w:r>
      <w:r w:rsidRPr="00961C07">
        <w:rPr>
          <w:i/>
          <w:sz w:val="24"/>
          <w:lang w:val="en-US"/>
        </w:rPr>
        <w:t>H</w:t>
      </w:r>
      <w:r w:rsidRPr="00961C07">
        <w:rPr>
          <w:sz w:val="24"/>
          <w:vertAlign w:val="subscript"/>
          <w:lang w:val="en-US"/>
        </w:rPr>
        <w:t>c</w:t>
      </w:r>
      <w:r w:rsidRPr="00961C07">
        <w:rPr>
          <w:sz w:val="24"/>
        </w:rPr>
        <w:t>(</w:t>
      </w:r>
      <w:r w:rsidRPr="00961C07">
        <w:rPr>
          <w:sz w:val="24"/>
          <w:lang w:val="en-US"/>
        </w:rPr>
        <w:t>θ</w:t>
      </w:r>
      <w:r w:rsidRPr="00961C07">
        <w:rPr>
          <w:sz w:val="24"/>
        </w:rPr>
        <w:t>)</w:t>
      </w:r>
      <w:r>
        <w:rPr>
          <w:sz w:val="24"/>
        </w:rPr>
        <w:t xml:space="preserve"> от </w:t>
      </w:r>
      <w:r w:rsidRPr="00A02C3A">
        <w:rPr>
          <w:i/>
          <w:iCs/>
          <w:sz w:val="24"/>
          <w:lang w:val="en-US"/>
        </w:rPr>
        <w:t>k</w:t>
      </w:r>
      <w:r w:rsidRPr="00A02C3A">
        <w:rPr>
          <w:sz w:val="24"/>
        </w:rPr>
        <w:t xml:space="preserve"> </w:t>
      </w:r>
      <w:r>
        <w:rPr>
          <w:sz w:val="24"/>
        </w:rPr>
        <w:t xml:space="preserve">хорошо описывает угловые зависимости коэрцитивной силы для ПМ с преобладанием механизма задержки смещения доменных стенок на примере марок </w:t>
      </w:r>
      <w:r>
        <w:rPr>
          <w:sz w:val="24"/>
          <w:lang w:val="en-US"/>
        </w:rPr>
        <w:t>N</w:t>
      </w:r>
      <w:r w:rsidRPr="00A02C3A">
        <w:rPr>
          <w:sz w:val="24"/>
        </w:rPr>
        <w:t xml:space="preserve">35 </w:t>
      </w:r>
      <w:r>
        <w:rPr>
          <w:sz w:val="24"/>
        </w:rPr>
        <w:t xml:space="preserve">и </w:t>
      </w:r>
      <w:r>
        <w:rPr>
          <w:sz w:val="24"/>
          <w:lang w:val="en-US"/>
        </w:rPr>
        <w:t>N</w:t>
      </w:r>
      <w:r w:rsidRPr="00A02C3A">
        <w:rPr>
          <w:sz w:val="24"/>
        </w:rPr>
        <w:t>48</w:t>
      </w:r>
      <w:r>
        <w:rPr>
          <w:sz w:val="24"/>
        </w:rPr>
        <w:t>.</w:t>
      </w:r>
    </w:p>
    <w:tbl>
      <w:tblPr>
        <w:tblW w:w="10328" w:type="dxa"/>
        <w:jc w:val="center"/>
        <w:tblLayout w:type="fixed"/>
        <w:tblLook w:val="04A0" w:firstRow="1" w:lastRow="0" w:firstColumn="1" w:lastColumn="0" w:noHBand="0" w:noVBand="1"/>
      </w:tblPr>
      <w:tblGrid>
        <w:gridCol w:w="15"/>
        <w:gridCol w:w="10050"/>
        <w:gridCol w:w="263"/>
      </w:tblGrid>
      <w:tr w:rsidR="00813C9E" w:rsidRPr="00F670FD" w14:paraId="5FF76200" w14:textId="77777777" w:rsidTr="00442D0A">
        <w:trPr>
          <w:gridBefore w:val="1"/>
          <w:wBefore w:w="15" w:type="dxa"/>
          <w:trHeight w:val="2985"/>
          <w:jc w:val="center"/>
        </w:trPr>
        <w:tc>
          <w:tcPr>
            <w:tcW w:w="10050" w:type="dxa"/>
            <w:shd w:val="clear" w:color="auto" w:fill="auto"/>
            <w:vAlign w:val="center"/>
          </w:tcPr>
          <w:p w14:paraId="710502B6" w14:textId="1C00AB4F" w:rsidR="00813C9E" w:rsidRPr="00A659DC" w:rsidRDefault="00C06E91" w:rsidP="00A318C8">
            <w:pPr>
              <w:ind w:firstLine="426"/>
              <w:jc w:val="center"/>
            </w:pPr>
            <w:r>
              <w:rPr>
                <w:noProof/>
              </w:rPr>
              <w:drawing>
                <wp:inline distT="0" distB="0" distL="0" distR="0" wp14:anchorId="2E878C4A" wp14:editId="1B9D79A6">
                  <wp:extent cx="3143250" cy="2419350"/>
                  <wp:effectExtent l="0" t="0" r="0" b="0"/>
                  <wp:docPr id="1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0" cy="2419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" w:type="dxa"/>
          </w:tcPr>
          <w:p w14:paraId="6845FC92" w14:textId="77777777" w:rsidR="00813C9E" w:rsidRPr="00A659DC" w:rsidRDefault="00813C9E" w:rsidP="00011E41">
            <w:pPr>
              <w:ind w:firstLine="426"/>
            </w:pPr>
          </w:p>
        </w:tc>
      </w:tr>
      <w:tr w:rsidR="00813C9E" w:rsidRPr="00F670FD" w14:paraId="74C00CF3" w14:textId="77777777" w:rsidTr="00442D0A">
        <w:trPr>
          <w:trHeight w:val="363"/>
          <w:jc w:val="center"/>
        </w:trPr>
        <w:tc>
          <w:tcPr>
            <w:tcW w:w="10328" w:type="dxa"/>
            <w:gridSpan w:val="3"/>
            <w:shd w:val="clear" w:color="auto" w:fill="auto"/>
            <w:vAlign w:val="center"/>
          </w:tcPr>
          <w:p w14:paraId="30778898" w14:textId="77777777" w:rsidR="00813C9E" w:rsidRPr="005B0727" w:rsidRDefault="00813C9E" w:rsidP="00011E41">
            <w:pPr>
              <w:ind w:firstLine="426"/>
              <w:jc w:val="center"/>
              <w:rPr>
                <w:sz w:val="22"/>
                <w:szCs w:val="22"/>
              </w:rPr>
            </w:pPr>
            <w:r w:rsidRPr="002700F0">
              <w:rPr>
                <w:b/>
                <w:i/>
                <w:sz w:val="22"/>
                <w:szCs w:val="22"/>
              </w:rPr>
              <w:t>Рис. 1.</w:t>
            </w:r>
            <w:r w:rsidRPr="002700F0">
              <w:rPr>
                <w:sz w:val="22"/>
                <w:szCs w:val="22"/>
              </w:rPr>
              <w:t xml:space="preserve"> </w:t>
            </w:r>
            <w:r w:rsidR="005B0727" w:rsidRPr="005B0727">
              <w:rPr>
                <w:sz w:val="22"/>
                <w:szCs w:val="22"/>
              </w:rPr>
              <w:t xml:space="preserve">Угловые зависимости коэрцитивной силы </w:t>
            </w:r>
            <w:r w:rsidR="005B0727" w:rsidRPr="00AB2160">
              <w:rPr>
                <w:i/>
                <w:iCs/>
                <w:sz w:val="22"/>
                <w:szCs w:val="22"/>
              </w:rPr>
              <w:t>H</w:t>
            </w:r>
            <w:r w:rsidR="005B0727" w:rsidRPr="00AB2160">
              <w:rPr>
                <w:sz w:val="22"/>
                <w:szCs w:val="22"/>
                <w:vertAlign w:val="subscript"/>
              </w:rPr>
              <w:t>c</w:t>
            </w:r>
            <w:r w:rsidR="005B0727" w:rsidRPr="005B0727">
              <w:rPr>
                <w:sz w:val="22"/>
                <w:szCs w:val="22"/>
              </w:rPr>
              <w:t>(θ)/</w:t>
            </w:r>
            <w:r w:rsidR="005B0727" w:rsidRPr="00AB2160">
              <w:rPr>
                <w:i/>
                <w:iCs/>
                <w:sz w:val="22"/>
                <w:szCs w:val="22"/>
              </w:rPr>
              <w:t>H</w:t>
            </w:r>
            <w:r w:rsidR="005B0727" w:rsidRPr="00AB2160">
              <w:rPr>
                <w:sz w:val="22"/>
                <w:szCs w:val="22"/>
                <w:vertAlign w:val="subscript"/>
              </w:rPr>
              <w:t>c</w:t>
            </w:r>
            <w:r w:rsidR="005B0727" w:rsidRPr="005B0727">
              <w:rPr>
                <w:sz w:val="22"/>
                <w:szCs w:val="22"/>
              </w:rPr>
              <w:t>(0) в рамках расширенной модели Кондорского</w:t>
            </w:r>
          </w:p>
        </w:tc>
      </w:tr>
    </w:tbl>
    <w:p w14:paraId="06BDCF66" w14:textId="77777777" w:rsidR="00813C9E" w:rsidRDefault="00813C9E" w:rsidP="00011E41">
      <w:pPr>
        <w:ind w:firstLine="426"/>
        <w:jc w:val="center"/>
      </w:pPr>
    </w:p>
    <w:p w14:paraId="3ACA3F1E" w14:textId="77777777" w:rsidR="005B0727" w:rsidRPr="00AB2160" w:rsidRDefault="00D2584B" w:rsidP="00AB2160">
      <w:pPr>
        <w:ind w:firstLine="397"/>
        <w:jc w:val="both"/>
        <w:rPr>
          <w:lang w:val="en-US"/>
        </w:rPr>
      </w:pPr>
      <w:r>
        <w:t xml:space="preserve">Работа выполнена при финансовой поддержке </w:t>
      </w:r>
      <w:r w:rsidR="005B0727">
        <w:t xml:space="preserve">гранта </w:t>
      </w:r>
      <w:r>
        <w:t>РНФ № 21-72-10104</w:t>
      </w:r>
      <w:r w:rsidR="00813C9E">
        <w:rPr>
          <w:color w:val="000000"/>
        </w:rPr>
        <w:t>.</w:t>
      </w:r>
    </w:p>
    <w:sectPr w:rsidR="005B0727" w:rsidRPr="00AB2160" w:rsidSect="00201A92">
      <w:footerReference w:type="even" r:id="rId9"/>
      <w:footerReference w:type="default" r:id="rId10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62C744" w14:textId="77777777" w:rsidR="00201A92" w:rsidRDefault="00201A92">
      <w:r>
        <w:separator/>
      </w:r>
    </w:p>
  </w:endnote>
  <w:endnote w:type="continuationSeparator" w:id="0">
    <w:p w14:paraId="5189A643" w14:textId="77777777" w:rsidR="00201A92" w:rsidRDefault="00201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A7AA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FDFFE0F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AA37B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186A8" w14:textId="77777777" w:rsidR="00201A92" w:rsidRDefault="00201A92">
      <w:r>
        <w:separator/>
      </w:r>
    </w:p>
  </w:footnote>
  <w:footnote w:type="continuationSeparator" w:id="0">
    <w:p w14:paraId="710B5D26" w14:textId="77777777" w:rsidR="00201A92" w:rsidRDefault="00201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243774">
    <w:abstractNumId w:val="4"/>
  </w:num>
  <w:num w:numId="2" w16cid:durableId="305356042">
    <w:abstractNumId w:val="5"/>
  </w:num>
  <w:num w:numId="3" w16cid:durableId="432941566">
    <w:abstractNumId w:val="3"/>
  </w:num>
  <w:num w:numId="4" w16cid:durableId="943658054">
    <w:abstractNumId w:val="1"/>
  </w:num>
  <w:num w:numId="5" w16cid:durableId="57941628">
    <w:abstractNumId w:val="2"/>
  </w:num>
  <w:num w:numId="6" w16cid:durableId="946348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725"/>
    <w:rsid w:val="000005C6"/>
    <w:rsid w:val="00011E41"/>
    <w:rsid w:val="00041583"/>
    <w:rsid w:val="00057723"/>
    <w:rsid w:val="00073747"/>
    <w:rsid w:val="00082FB2"/>
    <w:rsid w:val="00084FBB"/>
    <w:rsid w:val="000A3BC0"/>
    <w:rsid w:val="000A66E6"/>
    <w:rsid w:val="000A7C0A"/>
    <w:rsid w:val="000B658B"/>
    <w:rsid w:val="000B764C"/>
    <w:rsid w:val="000C514B"/>
    <w:rsid w:val="000D3C93"/>
    <w:rsid w:val="00101912"/>
    <w:rsid w:val="00145559"/>
    <w:rsid w:val="00145725"/>
    <w:rsid w:val="001560FA"/>
    <w:rsid w:val="00191B00"/>
    <w:rsid w:val="001942D4"/>
    <w:rsid w:val="001C34DE"/>
    <w:rsid w:val="001C65A7"/>
    <w:rsid w:val="00201A92"/>
    <w:rsid w:val="00203945"/>
    <w:rsid w:val="002522CA"/>
    <w:rsid w:val="002700F0"/>
    <w:rsid w:val="002D0661"/>
    <w:rsid w:val="003134BF"/>
    <w:rsid w:val="0034624D"/>
    <w:rsid w:val="0036078F"/>
    <w:rsid w:val="00372B30"/>
    <w:rsid w:val="00387196"/>
    <w:rsid w:val="00391155"/>
    <w:rsid w:val="003A1889"/>
    <w:rsid w:val="003A7D50"/>
    <w:rsid w:val="003B0219"/>
    <w:rsid w:val="003C32ED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522F93"/>
    <w:rsid w:val="00536E00"/>
    <w:rsid w:val="005656FA"/>
    <w:rsid w:val="00567E13"/>
    <w:rsid w:val="00585FDB"/>
    <w:rsid w:val="005A0ADD"/>
    <w:rsid w:val="005B0727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799F"/>
    <w:rsid w:val="00665540"/>
    <w:rsid w:val="00684521"/>
    <w:rsid w:val="00691213"/>
    <w:rsid w:val="006C6C75"/>
    <w:rsid w:val="006D0486"/>
    <w:rsid w:val="006D39CB"/>
    <w:rsid w:val="006E2A0B"/>
    <w:rsid w:val="006F21F0"/>
    <w:rsid w:val="006F573B"/>
    <w:rsid w:val="00704E39"/>
    <w:rsid w:val="0071479B"/>
    <w:rsid w:val="00726440"/>
    <w:rsid w:val="007533AC"/>
    <w:rsid w:val="00763BEC"/>
    <w:rsid w:val="0078361D"/>
    <w:rsid w:val="007B0060"/>
    <w:rsid w:val="007C0667"/>
    <w:rsid w:val="007C15AF"/>
    <w:rsid w:val="007C425E"/>
    <w:rsid w:val="007E281C"/>
    <w:rsid w:val="007E2B50"/>
    <w:rsid w:val="007E3472"/>
    <w:rsid w:val="007F141A"/>
    <w:rsid w:val="007F5491"/>
    <w:rsid w:val="00804CEF"/>
    <w:rsid w:val="00813C9E"/>
    <w:rsid w:val="008309D3"/>
    <w:rsid w:val="00842AC1"/>
    <w:rsid w:val="00853D7F"/>
    <w:rsid w:val="008A2CA1"/>
    <w:rsid w:val="008A36BD"/>
    <w:rsid w:val="008D0BC8"/>
    <w:rsid w:val="008D3631"/>
    <w:rsid w:val="008E6318"/>
    <w:rsid w:val="008F41D2"/>
    <w:rsid w:val="008F5B75"/>
    <w:rsid w:val="00904BA7"/>
    <w:rsid w:val="00925138"/>
    <w:rsid w:val="00960060"/>
    <w:rsid w:val="009654CD"/>
    <w:rsid w:val="00971DA1"/>
    <w:rsid w:val="009C6D9B"/>
    <w:rsid w:val="009F1B7E"/>
    <w:rsid w:val="009F3AFE"/>
    <w:rsid w:val="00A318C8"/>
    <w:rsid w:val="00AB2160"/>
    <w:rsid w:val="00AD42D6"/>
    <w:rsid w:val="00AD4300"/>
    <w:rsid w:val="00B020B9"/>
    <w:rsid w:val="00B07841"/>
    <w:rsid w:val="00B40569"/>
    <w:rsid w:val="00B60661"/>
    <w:rsid w:val="00B71CCF"/>
    <w:rsid w:val="00B87ADC"/>
    <w:rsid w:val="00B9050C"/>
    <w:rsid w:val="00BA269F"/>
    <w:rsid w:val="00BB1D57"/>
    <w:rsid w:val="00BC53DF"/>
    <w:rsid w:val="00BF1D85"/>
    <w:rsid w:val="00BF258B"/>
    <w:rsid w:val="00C06E91"/>
    <w:rsid w:val="00C13C66"/>
    <w:rsid w:val="00C23BEC"/>
    <w:rsid w:val="00C248C4"/>
    <w:rsid w:val="00C55FC0"/>
    <w:rsid w:val="00C82183"/>
    <w:rsid w:val="00C92CD8"/>
    <w:rsid w:val="00CC748C"/>
    <w:rsid w:val="00CD4908"/>
    <w:rsid w:val="00CE5B12"/>
    <w:rsid w:val="00D11384"/>
    <w:rsid w:val="00D2584B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A4C97"/>
    <w:rsid w:val="00ED0FEB"/>
    <w:rsid w:val="00EE2373"/>
    <w:rsid w:val="00EF5FB6"/>
    <w:rsid w:val="00F30866"/>
    <w:rsid w:val="00F40B92"/>
    <w:rsid w:val="00F538BF"/>
    <w:rsid w:val="00F7405A"/>
    <w:rsid w:val="00FB7743"/>
    <w:rsid w:val="00FC0C73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8E2AD2"/>
  <w15:chartTrackingRefBased/>
  <w15:docId w15:val="{E1D1F4F6-49F8-4CB0-AF35-07AA1915E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uiPriority w:val="9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Обычный (веб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styleId="af0">
    <w:name w:val="Unresolved Mention"/>
    <w:uiPriority w:val="99"/>
    <w:semiHidden/>
    <w:unhideWhenUsed/>
    <w:rsid w:val="00AD42D6"/>
    <w:rPr>
      <w:color w:val="605E5C"/>
      <w:shd w:val="clear" w:color="auto" w:fill="E1DFDD"/>
    </w:rPr>
  </w:style>
  <w:style w:type="paragraph" w:customStyle="1" w:styleId="PMMmaintext">
    <w:name w:val="PMM_main text"/>
    <w:basedOn w:val="a"/>
    <w:autoRedefine/>
    <w:rsid w:val="00AD42D6"/>
    <w:pPr>
      <w:tabs>
        <w:tab w:val="right" w:pos="4820"/>
      </w:tabs>
      <w:spacing w:after="120"/>
      <w:ind w:firstLine="284"/>
      <w:jc w:val="both"/>
    </w:pPr>
    <w:rPr>
      <w:rFonts w:eastAsia="MS Minch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FDBE5-4AAD-4865-B51F-38AA223FB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Научный отдел</cp:lastModifiedBy>
  <cp:revision>2</cp:revision>
  <dcterms:created xsi:type="dcterms:W3CDTF">2024-03-20T14:29:00Z</dcterms:created>
  <dcterms:modified xsi:type="dcterms:W3CDTF">2024-03-20T14:29:00Z</dcterms:modified>
</cp:coreProperties>
</file>