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eastAsia="Times New Roman"/>
          <w:b/>
          <w:lang w:val="ru-RU" w:eastAsia="ja-JP" w:bidi="ar-SA"/>
        </w:rPr>
        <w:t>Анизотропия магнитокалорических свойств</w:t>
        <w:br/>
        <w:t>в монокристалле двойного фторида LiGdF</w:t>
      </w:r>
      <w:r>
        <w:rPr>
          <w:rFonts w:eastAsia="Times New Roman"/>
          <w:b/>
          <w:vertAlign w:val="subscript"/>
          <w:lang w:val="ru-RU" w:eastAsia="ja-JP" w:bidi="ar-SA"/>
        </w:rPr>
        <w:t>4</w:t>
      </w:r>
    </w:p>
    <w:p>
      <w:pPr>
        <w:pStyle w:val="Normal"/>
        <w:spacing w:lineRule="auto" w:line="240"/>
        <w:jc w:val="center"/>
        <w:rPr>
          <w:rFonts w:eastAsia="Times New Roman"/>
          <w:b/>
          <w:b/>
          <w:i/>
          <w:i/>
          <w:iCs/>
          <w:color w:val="000000"/>
          <w:lang w:val="ru-RU" w:eastAsia="ja-JP" w:bidi="ar-SA"/>
        </w:rPr>
      </w:pPr>
      <w:r>
        <w:rPr>
          <w:rFonts w:eastAsia="Times New Roman"/>
          <w:b/>
          <w:i/>
          <w:iCs/>
          <w:color w:val="000000"/>
          <w:lang w:val="ru-RU" w:eastAsia="ja-JP" w:bidi="ar-SA"/>
        </w:rPr>
        <w:t>Андреев Г.Ю.</w:t>
      </w:r>
    </w:p>
    <w:p>
      <w:pPr>
        <w:pStyle w:val="Normal"/>
        <w:spacing w:lineRule="auto" w:line="240"/>
        <w:jc w:val="center"/>
        <w:rPr>
          <w:rFonts w:eastAsia="Times New Roman"/>
          <w:i/>
          <w:i/>
          <w:iCs/>
          <w:color w:val="000000"/>
          <w:lang w:val="ru-RU" w:eastAsia="ja-JP" w:bidi="ar-SA"/>
        </w:rPr>
      </w:pPr>
      <w:r>
        <w:rPr>
          <w:rFonts w:eastAsia="Times New Roman"/>
          <w:i/>
          <w:iCs/>
          <w:color w:val="000000"/>
          <w:lang w:val="ru-RU" w:eastAsia="ja-JP" w:bidi="ar-SA"/>
        </w:rPr>
        <w:t>аспирант</w:t>
      </w:r>
    </w:p>
    <w:p>
      <w:pPr>
        <w:pStyle w:val="Normal"/>
        <w:spacing w:lineRule="auto" w:line="240"/>
        <w:jc w:val="center"/>
        <w:rPr>
          <w:rFonts w:eastAsia="Times New Roman"/>
          <w:i/>
          <w:i/>
          <w:iCs/>
          <w:color w:val="000000"/>
          <w:lang w:val="ru-RU" w:eastAsia="ja-JP" w:bidi="ar-SA"/>
        </w:rPr>
      </w:pPr>
      <w:r>
        <w:rPr>
          <w:rFonts w:eastAsia="Times New Roman"/>
          <w:i/>
          <w:iCs/>
          <w:color w:val="000000"/>
          <w:lang w:val="ru-RU" w:eastAsia="ja-JP" w:bidi="ar-SA"/>
        </w:rPr>
        <w:t>Казанский (Приволжский) федеральный университет, Институт физики,</w:t>
        <w:br/>
        <w:t>Казань, Российская Федерация</w:t>
      </w:r>
    </w:p>
    <w:p>
      <w:pPr>
        <w:pStyle w:val="Normal"/>
        <w:spacing w:lineRule="auto" w:line="240"/>
        <w:jc w:val="center"/>
        <w:rPr/>
      </w:pPr>
      <w:r>
        <w:rPr>
          <w:rFonts w:eastAsia="Times New Roman"/>
          <w:i/>
          <w:iCs/>
          <w:color w:val="000000"/>
          <w:lang w:val="ru-RU" w:eastAsia="ja-JP" w:bidi="ar-SA"/>
        </w:rPr>
        <w:t xml:space="preserve">e-mail: </w:t>
      </w:r>
      <w:hyperlink r:id="rId2">
        <w:r>
          <w:rPr>
            <w:rStyle w:val="Style15"/>
            <w:rFonts w:eastAsia="Times New Roman"/>
            <w:i/>
            <w:iCs/>
            <w:color w:val="000000"/>
            <w:lang w:val="ru-RU" w:eastAsia="ja-JP" w:bidi="ar-SA"/>
          </w:rPr>
          <w:t>ujif28@mail.ru</w:t>
        </w:r>
      </w:hyperlink>
    </w:p>
    <w:p>
      <w:pPr>
        <w:pStyle w:val="Style22"/>
        <w:spacing w:lineRule="auto" w:line="240" w:before="397" w:after="0"/>
        <w:rPr/>
      </w:pPr>
      <w:r>
        <w:rPr>
          <w:lang w:val="ru-RU" w:eastAsia="ja-JP" w:bidi="ar-SA"/>
        </w:rPr>
        <w:t xml:space="preserve">Двойные фториды </w:t>
      </w:r>
      <w:r>
        <w:rPr>
          <w:sz w:val="24"/>
          <w:szCs w:val="24"/>
          <w:lang w:val="ru-RU" w:eastAsia="en-US" w:bidi="ar-SA"/>
        </w:rPr>
        <w:t>LiREF</w:t>
      </w:r>
      <w:r>
        <w:rPr>
          <w:sz w:val="24"/>
          <w:szCs w:val="24"/>
          <w:vertAlign w:val="subscript"/>
          <w:lang w:val="ru-RU" w:eastAsia="en-US" w:bidi="ar-SA"/>
        </w:rPr>
        <w:t>4</w:t>
      </w:r>
      <w:r>
        <w:rPr>
          <w:sz w:val="24"/>
          <w:szCs w:val="24"/>
          <w:lang w:val="ru-RU" w:eastAsia="en-US" w:bidi="ar-SA"/>
        </w:rPr>
        <w:t xml:space="preserve"> (RE = Gd-Yb) </w:t>
      </w:r>
      <w:r>
        <w:rPr>
          <w:sz w:val="24"/>
          <w:szCs w:val="24"/>
          <w:lang w:val="ru-RU" w:eastAsia="ja-JP" w:bidi="ar-SA"/>
        </w:rPr>
        <w:t xml:space="preserve">представляют интерес для физики дипольного магнетизма. Кристаллическая структура этих соединений относится к группе симметрии </w:t>
      </w:r>
      <w:r>
        <w:rPr>
          <w:i/>
          <w:iCs/>
          <w:sz w:val="24"/>
          <w:szCs w:val="24"/>
          <w:lang w:val="ru-RU" w:eastAsia="ja-JP" w:bidi="ar-SA"/>
        </w:rPr>
        <w:t>I</w:t>
      </w:r>
      <w:r>
        <w:rPr>
          <w:sz w:val="24"/>
          <w:szCs w:val="24"/>
          <w:lang w:val="ru-RU" w:eastAsia="ja-JP" w:bidi="ar-SA"/>
        </w:rPr>
        <w:t>4</w:t>
      </w:r>
      <w:r>
        <w:rPr>
          <w:sz w:val="24"/>
          <w:szCs w:val="24"/>
          <w:vertAlign w:val="subscript"/>
          <w:lang w:val="ru-RU" w:eastAsia="ja-JP" w:bidi="ar-SA"/>
        </w:rPr>
        <w:t>1</w:t>
      </w:r>
      <w:r>
        <w:rPr>
          <w:sz w:val="24"/>
          <w:szCs w:val="24"/>
          <w:lang w:val="ru-RU" w:eastAsia="ja-JP" w:bidi="ar-SA"/>
        </w:rPr>
        <w:t>/a и аналогична структуре шеелита CaWO</w:t>
      </w:r>
      <w:r>
        <w:rPr>
          <w:sz w:val="24"/>
          <w:szCs w:val="24"/>
          <w:vertAlign w:val="subscript"/>
          <w:lang w:val="ru-RU" w:eastAsia="ja-JP" w:bidi="ar-SA"/>
        </w:rPr>
        <w:t>4</w:t>
      </w:r>
      <w:r>
        <w:rPr>
          <w:sz w:val="24"/>
          <w:szCs w:val="24"/>
          <w:lang w:val="ru-RU" w:eastAsia="ja-JP" w:bidi="ar-SA"/>
        </w:rPr>
        <w:t>, элементарная ячейка содержит два иона Re</w:t>
      </w:r>
      <w:r>
        <w:rPr>
          <w:sz w:val="24"/>
          <w:szCs w:val="24"/>
          <w:vertAlign w:val="superscript"/>
          <w:lang w:val="ru-RU" w:eastAsia="ja-JP" w:bidi="ar-SA"/>
        </w:rPr>
        <w:t>3+</w:t>
      </w:r>
      <w:r>
        <w:rPr>
          <w:sz w:val="24"/>
          <w:szCs w:val="24"/>
          <w:lang w:val="ru-RU" w:eastAsia="ja-JP" w:bidi="ar-SA"/>
        </w:rPr>
        <w:t xml:space="preserve"> в магнитоэквивалентных позициях с симметрией </w:t>
      </w:r>
      <w:r>
        <w:rPr>
          <w:i/>
          <w:iCs/>
          <w:sz w:val="24"/>
          <w:szCs w:val="24"/>
          <w:lang w:val="ru-RU" w:eastAsia="ja-JP" w:bidi="ar-SA"/>
        </w:rPr>
        <w:t>S</w:t>
      </w:r>
      <w:r>
        <w:rPr>
          <w:sz w:val="24"/>
          <w:szCs w:val="24"/>
          <w:vertAlign w:val="subscript"/>
          <w:lang w:val="ru-RU" w:eastAsia="ja-JP" w:bidi="ar-SA"/>
        </w:rPr>
        <w:t>4</w:t>
      </w:r>
      <w:r>
        <w:rPr>
          <w:sz w:val="24"/>
          <w:szCs w:val="24"/>
          <w:lang w:val="ru-RU" w:eastAsia="ja-JP" w:bidi="ar-SA"/>
        </w:rPr>
        <w:t>, что образуют две подрешётки [1]. Самый изотропный магнетик в этом семействе – LiGdF</w:t>
      </w:r>
      <w:r>
        <w:rPr>
          <w:sz w:val="24"/>
          <w:szCs w:val="24"/>
          <w:vertAlign w:val="subscript"/>
          <w:lang w:val="ru-RU" w:eastAsia="ja-JP" w:bidi="ar-SA"/>
        </w:rPr>
        <w:t>4</w:t>
      </w:r>
      <w:r>
        <w:rPr>
          <w:sz w:val="24"/>
          <w:szCs w:val="24"/>
          <w:lang w:val="ru-RU" w:eastAsia="ja-JP" w:bidi="ar-SA"/>
        </w:rPr>
        <w:t>, поскольку ионы Gd</w:t>
      </w:r>
      <w:r>
        <w:rPr>
          <w:sz w:val="24"/>
          <w:szCs w:val="24"/>
          <w:vertAlign w:val="superscript"/>
          <w:lang w:val="ru-RU" w:eastAsia="ja-JP" w:bidi="ar-SA"/>
        </w:rPr>
        <w:t>3+</w:t>
      </w:r>
      <w:r>
        <w:rPr>
          <w:sz w:val="24"/>
          <w:szCs w:val="24"/>
          <w:lang w:val="ru-RU" w:eastAsia="ja-JP" w:bidi="ar-SA"/>
        </w:rPr>
        <w:t xml:space="preserve"> обладают только спиновым угловым моментом </w:t>
      </w:r>
      <w:r>
        <w:rPr>
          <w:i/>
          <w:iCs/>
          <w:sz w:val="24"/>
          <w:szCs w:val="24"/>
          <w:lang w:val="ru-RU" w:eastAsia="ja-JP" w:bidi="ar-SA"/>
        </w:rPr>
        <w:t>S</w:t>
      </w:r>
      <w:r>
        <w:rPr>
          <w:sz w:val="24"/>
          <w:szCs w:val="24"/>
          <w:lang w:val="ru-RU" w:eastAsia="ja-JP" w:bidi="ar-SA"/>
        </w:rPr>
        <w:t xml:space="preserve"> = 7/2. Этот фторид был признан хорошим материалом для низкотемпературного охлаждения методом адиабатического размагничивания, однако имеется недостаток знаний о его базовых магнитных свойствах. Так, магнитное упорядочение не было обнаружено вплоть до температуры 400 мК [2]. Предположительно, за запаздывание упорядочения отвечает обнаруженная недавно точная компенсация дипольного и обменного взаимодействий [3].</w:t>
      </w:r>
    </w:p>
    <w:p>
      <w:pPr>
        <w:pStyle w:val="Style22"/>
        <w:spacing w:lineRule="auto" w:line="240" w:before="397" w:after="0"/>
        <w:rPr/>
      </w:pPr>
      <w:r>
        <w:rPr>
          <w:sz w:val="24"/>
          <w:szCs w:val="24"/>
          <w:lang w:val="ru-RU" w:eastAsia="ja-JP" w:bidi="ar-SA"/>
        </w:rPr>
        <w:t>В данной работе представлены результаты иccледования магнитокалорического эффекта  в дипольном гейзенберговском магнетике LiGdF</w:t>
      </w:r>
      <w:r>
        <w:rPr>
          <w:sz w:val="24"/>
          <w:szCs w:val="24"/>
          <w:vertAlign w:val="subscript"/>
          <w:lang w:val="ru-RU" w:eastAsia="ja-JP" w:bidi="ar-SA"/>
        </w:rPr>
        <w:t>4</w:t>
      </w:r>
      <w:r>
        <w:rPr>
          <w:sz w:val="24"/>
          <w:szCs w:val="24"/>
          <w:lang w:val="ru-RU" w:eastAsia="ja-JP" w:bidi="ar-SA"/>
        </w:rPr>
        <w:t xml:space="preserve"> путём измерения намагниченности монокристаллического образца (тонкой пластинки, вырезанной вдоль плоскости </w:t>
      </w:r>
      <w:r>
        <w:rPr>
          <w:i w:val="false"/>
          <w:iCs w:val="false"/>
          <w:sz w:val="24"/>
          <w:szCs w:val="24"/>
          <w:lang w:val="ru-RU" w:eastAsia="ja-JP" w:bidi="ar-SA"/>
        </w:rPr>
        <w:t>[010]</w:t>
      </w:r>
      <w:r>
        <w:rPr>
          <w:sz w:val="24"/>
          <w:szCs w:val="24"/>
          <w:lang w:val="ru-RU" w:eastAsia="ja-JP" w:bidi="ar-SA"/>
        </w:rPr>
        <w:t xml:space="preserve">). Изменение энтропии при изотермическом размагничивании от поля в 1 Тл. 2 Тл или 3 Тл определено в температурном интервале 2-10 К для двух основных направлений приложенного поля: вдоль кристаллических осей </w:t>
      </w:r>
      <w:r>
        <w:rPr>
          <w:i/>
          <w:iCs/>
          <w:sz w:val="24"/>
          <w:szCs w:val="24"/>
          <w:lang w:val="ru-RU" w:eastAsia="ja-JP" w:bidi="ar-SA"/>
        </w:rPr>
        <w:t>а</w:t>
      </w:r>
      <w:r>
        <w:rPr>
          <w:sz w:val="24"/>
          <w:szCs w:val="24"/>
          <w:lang w:val="ru-RU" w:eastAsia="ja-JP" w:bidi="ar-SA"/>
        </w:rPr>
        <w:t xml:space="preserve"> или </w:t>
      </w:r>
      <w:r>
        <w:rPr>
          <w:i/>
          <w:iCs/>
          <w:sz w:val="24"/>
          <w:szCs w:val="24"/>
          <w:lang w:val="ru-RU" w:eastAsia="ja-JP" w:bidi="ar-SA"/>
        </w:rPr>
        <w:t>с</w:t>
      </w:r>
      <w:r>
        <w:rPr>
          <w:sz w:val="24"/>
          <w:szCs w:val="24"/>
          <w:lang w:val="ru-RU" w:eastAsia="ja-JP" w:bidi="ar-SA"/>
        </w:rPr>
        <w:t>. Магнитокалорический эффект оказался существенно анизотропным – эффективность охлаждения при</w:t>
      </w:r>
      <w:r>
        <w:rPr>
          <w:sz w:val="24"/>
          <w:szCs w:val="24"/>
          <w:lang w:val="ru-RU" w:eastAsia="en-US" w:bidi="ar-SA"/>
        </w:rPr>
        <w:t xml:space="preserve"> </w:t>
      </w:r>
      <w:r>
        <w:rPr>
          <w:b/>
          <w:bCs/>
          <w:sz w:val="24"/>
          <w:szCs w:val="24"/>
          <w:lang w:val="ru-RU" w:eastAsia="en-US" w:bidi="ar-SA"/>
        </w:rPr>
        <w:t>H</w:t>
      </w:r>
      <w:r>
        <w:rPr>
          <w:sz w:val="24"/>
          <w:szCs w:val="24"/>
          <w:lang w:val="ru-RU" w:eastAsia="en-US" w:bidi="ar-SA"/>
        </w:rPr>
        <w:t xml:space="preserve"> || </w:t>
      </w:r>
      <w:r>
        <w:rPr>
          <w:i/>
          <w:iCs/>
          <w:sz w:val="24"/>
          <w:szCs w:val="24"/>
          <w:lang w:val="ru-RU" w:eastAsia="en-US" w:bidi="ar-SA"/>
        </w:rPr>
        <w:t>c</w:t>
      </w:r>
      <w:r>
        <w:rPr>
          <w:sz w:val="24"/>
          <w:szCs w:val="24"/>
          <w:lang w:val="ru-RU" w:eastAsia="en-US" w:bidi="ar-SA"/>
        </w:rPr>
        <w:t xml:space="preserve"> превышает случай </w:t>
      </w:r>
      <w:r>
        <w:rPr>
          <w:b/>
          <w:bCs/>
          <w:sz w:val="24"/>
          <w:szCs w:val="24"/>
          <w:lang w:val="ru-RU" w:eastAsia="en-US" w:bidi="ar-SA"/>
        </w:rPr>
        <w:t>H</w:t>
      </w:r>
      <w:r>
        <w:rPr>
          <w:sz w:val="24"/>
          <w:szCs w:val="24"/>
          <w:lang w:val="ru-RU" w:eastAsia="en-US" w:bidi="ar-SA"/>
        </w:rPr>
        <w:t xml:space="preserve"> || </w:t>
      </w:r>
      <w:r>
        <w:rPr>
          <w:i/>
          <w:iCs/>
          <w:sz w:val="24"/>
          <w:szCs w:val="24"/>
          <w:lang w:val="ru-RU" w:eastAsia="en-US" w:bidi="ar-SA"/>
        </w:rPr>
        <w:t>а</w:t>
      </w:r>
      <w:r>
        <w:rPr>
          <w:sz w:val="24"/>
          <w:szCs w:val="24"/>
          <w:lang w:val="ru-RU" w:eastAsia="en-US" w:bidi="ar-SA"/>
        </w:rPr>
        <w:t xml:space="preserve"> почти в два раза. Полученные результаты могут быть описаны в рамках теории молекулярного поля с учётом анизотропии парамагнитной температуры Кюри—Вейсса. Сравнение с материалами, используемыми для адиабатического размагничивания, а также с данными для поликристаллического образца LiGdF</w:t>
      </w:r>
      <w:r>
        <w:rPr>
          <w:sz w:val="24"/>
          <w:szCs w:val="24"/>
          <w:vertAlign w:val="subscript"/>
          <w:lang w:val="ru-RU" w:eastAsia="en-US" w:bidi="ar-SA"/>
        </w:rPr>
        <w:t>4</w:t>
      </w:r>
      <w:r>
        <w:rPr>
          <w:sz w:val="24"/>
          <w:szCs w:val="24"/>
          <w:lang w:val="ru-RU" w:eastAsia="en-US" w:bidi="ar-SA"/>
        </w:rPr>
        <w:t xml:space="preserve"> [2], показывает значительное преимущество монокристалла LiGdF</w:t>
      </w:r>
      <w:r>
        <w:rPr>
          <w:sz w:val="24"/>
          <w:szCs w:val="24"/>
          <w:vertAlign w:val="subscript"/>
          <w:lang w:val="ru-RU" w:eastAsia="en-US" w:bidi="ar-SA"/>
        </w:rPr>
        <w:t>4</w:t>
      </w:r>
      <w:r>
        <w:rPr>
          <w:sz w:val="24"/>
          <w:szCs w:val="24"/>
          <w:lang w:val="ru-RU" w:eastAsia="en-US" w:bidi="ar-SA"/>
        </w:rPr>
        <w:t xml:space="preserve"> в диапазоне гелиевых температур в умеренных магнитных полях (1-3 Тл), что открывает перспективы для практического применения.</w:t>
      </w:r>
    </w:p>
    <w:p>
      <w:pPr>
        <w:pStyle w:val="Style22"/>
        <w:spacing w:lineRule="auto" w:line="240" w:before="397" w:after="0"/>
        <w:rPr>
          <w:sz w:val="24"/>
          <w:szCs w:val="24"/>
          <w:lang w:val="ru-RU" w:eastAsia="en-US" w:bidi="ar-SA"/>
        </w:rPr>
      </w:pPr>
      <w:r>
        <w:rPr>
          <w:sz w:val="24"/>
          <w:szCs w:val="24"/>
          <w:lang w:val="ru-RU" w:eastAsia="en-US" w:bidi="ar-SA"/>
        </w:rPr>
        <w:t>Исследование выполнено при поддержке гранта Российского научного фонда, проект № 22-22-00257, и Программы фундаментальных исследований НИУ ВШЭ, (рост кристаллов и обработка данных) а также Программы стратегического академического лидерства Казанского федерального университета Приоритет-2030 (магнитометрия).</w:t>
      </w:r>
    </w:p>
    <w:p>
      <w:pPr>
        <w:pStyle w:val="Style22"/>
        <w:spacing w:lineRule="auto" w:line="240" w:before="397" w:after="0"/>
        <w:rPr>
          <w:lang w:val="ru-RU" w:bidi="ar-SA"/>
        </w:rPr>
      </w:pPr>
      <w:r>
        <w:rPr>
          <w:b/>
          <w:bCs/>
          <w:color w:val="000000"/>
          <w:lang w:val="ru-RU" w:bidi="ar-SA"/>
        </w:rPr>
        <w:t>Литература</w:t>
      </w:r>
    </w:p>
    <w:p>
      <w:pPr>
        <w:pStyle w:val="Style22"/>
        <w:numPr>
          <w:ilvl w:val="0"/>
          <w:numId w:val="1"/>
        </w:numPr>
        <w:spacing w:lineRule="auto" w:line="240" w:before="0" w:after="0"/>
        <w:rPr>
          <w:color w:val="000000"/>
          <w:lang w:val="ru-RU" w:eastAsia="ja-JP" w:bidi="ar-SA"/>
        </w:rPr>
      </w:pPr>
      <w:r>
        <w:rPr>
          <w:color w:val="000000"/>
          <w:lang w:val="ru-RU" w:eastAsia="ja-JP" w:bidi="ar-SA"/>
        </w:rPr>
        <w:t>Aminov L.K., Malkin B.Z., Teplov M.A. Magnetic Properties of Nonmetallic Lanthanide Compounds // Handbok on the Physics and Chemistry of Rare Earths, Vol. 22. 1996. P. 295–506.</w:t>
      </w:r>
    </w:p>
    <w:p>
      <w:pPr>
        <w:pStyle w:val="Style22"/>
        <w:numPr>
          <w:ilvl w:val="0"/>
          <w:numId w:val="1"/>
        </w:numPr>
        <w:spacing w:lineRule="auto" w:line="240" w:before="0" w:after="0"/>
        <w:rPr/>
      </w:pPr>
      <w:r>
        <w:rPr>
          <w:color w:val="000000"/>
          <w:spacing w:val="-6"/>
          <w:lang w:val="ru-RU" w:bidi="ar-SA"/>
        </w:rPr>
        <w:t>Numazawa T., Kamiya K., Shirron P. et al. Magnetocaloric effect of polycrystal GdLiF</w:t>
      </w:r>
      <w:r>
        <w:rPr>
          <w:color w:val="000000"/>
          <w:spacing w:val="-6"/>
          <w:vertAlign w:val="subscript"/>
          <w:lang w:val="ru-RU" w:bidi="ar-SA"/>
        </w:rPr>
        <w:t>4</w:t>
      </w:r>
      <w:r>
        <w:rPr>
          <w:color w:val="000000"/>
          <w:spacing w:val="-6"/>
          <w:lang w:val="ru-RU" w:bidi="ar-SA"/>
        </w:rPr>
        <w:t xml:space="preserve"> for adiabatic magnetic refrigeration // AIP Conference Proceedings, 2006, V. 850, p. 1579-1580.</w:t>
      </w:r>
    </w:p>
    <w:p>
      <w:pPr>
        <w:pStyle w:val="Style22"/>
        <w:numPr>
          <w:ilvl w:val="0"/>
          <w:numId w:val="1"/>
        </w:numPr>
        <w:spacing w:lineRule="auto" w:line="240" w:before="0" w:after="0"/>
        <w:rPr/>
      </w:pPr>
      <w:r>
        <w:rPr>
          <w:color w:val="000000"/>
          <w:spacing w:val="-6"/>
          <w:sz w:val="24"/>
          <w:szCs w:val="24"/>
          <w:lang w:val="ru-RU" w:bidi="ar-SA"/>
        </w:rPr>
        <w:t>Сосин С.С., Яфарова А.Ф., Романова И.В. и др. Определение параметров спинового гамильтониана в дипольно-гейзенберговском магнетике LiGdF</w:t>
      </w:r>
      <w:r>
        <w:rPr>
          <w:color w:val="000000"/>
          <w:spacing w:val="-6"/>
          <w:sz w:val="24"/>
          <w:szCs w:val="24"/>
          <w:vertAlign w:val="subscript"/>
          <w:lang w:val="ru-RU" w:bidi="ar-SA"/>
        </w:rPr>
        <w:t>4</w:t>
      </w:r>
      <w:r>
        <w:rPr>
          <w:color w:val="000000"/>
          <w:spacing w:val="-6"/>
          <w:sz w:val="24"/>
          <w:szCs w:val="24"/>
          <w:lang w:val="ru-RU" w:bidi="ar-SA"/>
        </w:rPr>
        <w:t xml:space="preserve"> методом ЭПР // Письма в ЖЭТФ, 2022. Т. 116. вып. 11. с. 747-755.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pacing w:val="-6"/>
        <w:szCs w:val="24"/>
        <w:rFonts w:ascii="Times New Roman" w:hAnsi="Times New Roman" w:eastAsia="MS Mincho;ＭＳ 明朝" w:cs="Times New Roman"/>
        <w:color w:val="auto"/>
        <w:lang w:val="ru-RU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d7fa9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dd7fa9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Hyperlink"/>
    <w:uiPriority w:val="99"/>
    <w:unhideWhenUsed/>
    <w:rsid w:val="00522fcf"/>
    <w:rPr>
      <w:color w:val="0000FF"/>
      <w:u w:val="single"/>
    </w:rPr>
  </w:style>
  <w:style w:type="character" w:styleId="Style16" w:customStyle="1">
    <w:name w:val="Текст сноски Знак"/>
    <w:uiPriority w:val="99"/>
    <w:semiHidden/>
    <w:qFormat/>
    <w:rsid w:val="005e7865"/>
    <w:rPr>
      <w:rFonts w:ascii="Times New Roman" w:hAnsi="Times New Roman" w:eastAsia="Times New Roman"/>
    </w:rPr>
  </w:style>
  <w:style w:type="character" w:styleId="Style17">
    <w:name w:val="Символ сноски"/>
    <w:uiPriority w:val="99"/>
    <w:semiHidden/>
    <w:unhideWhenUsed/>
    <w:qFormat/>
    <w:rsid w:val="005e7865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Useraccountsubname" w:customStyle="1">
    <w:name w:val="user-account__subname"/>
    <w:basedOn w:val="DefaultParagraphFont"/>
    <w:qFormat/>
    <w:rsid w:val="00360816"/>
    <w:rPr/>
  </w:style>
  <w:style w:type="character" w:styleId="1" w:customStyle="1">
    <w:name w:val="Неразрешенное упоминание1"/>
    <w:uiPriority w:val="99"/>
    <w:semiHidden/>
    <w:unhideWhenUsed/>
    <w:qFormat/>
    <w:rsid w:val="00360816"/>
    <w:rPr>
      <w:color w:val="605E5C"/>
      <w:shd w:fill="E1DFDD" w:val="clear"/>
    </w:rPr>
  </w:style>
  <w:style w:type="character" w:styleId="WW8Num1z0">
    <w:name w:val="WW8Num1z0"/>
    <w:qFormat/>
    <w:rPr>
      <w:rFonts w:ascii="Times New Roman" w:hAnsi="Times New Roman" w:eastAsia="MS Mincho;ＭＳ 明朝" w:cs="Times New Roman"/>
      <w:color w:val="auto"/>
      <w:spacing w:val="-6"/>
      <w:sz w:val="24"/>
      <w:szCs w:val="24"/>
      <w:lang w:val="ru-RU" w:eastAsia="ja-JP" w:bidi="ar-SA"/>
    </w:rPr>
  </w:style>
  <w:style w:type="character" w:styleId="Style19">
    <w:name w:val="Знак сноски"/>
    <w:qFormat/>
    <w:rPr>
      <w:vertAlign w:val="superscript"/>
    </w:rPr>
  </w:style>
  <w:style w:type="character" w:styleId="11">
    <w:name w:val="Основной шрифт абзаца1"/>
    <w:qFormat/>
    <w:rPr/>
  </w:style>
  <w:style w:type="character" w:styleId="Style20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U2msonormal" w:customStyle="1">
    <w:name w:val="u-2-msonormal"/>
    <w:basedOn w:val="Normal"/>
    <w:qFormat/>
    <w:rsid w:val="00dd7fa9"/>
    <w:pPr>
      <w:spacing w:beforeAutospacing="1" w:afterAutospacing="1"/>
    </w:pPr>
    <w:rPr/>
  </w:style>
  <w:style w:type="paragraph" w:styleId="Web" w:customStyle="1">
    <w:name w:val="Обычный (Web)"/>
    <w:basedOn w:val="Normal"/>
    <w:qFormat/>
    <w:rsid w:val="00dd7fa9"/>
    <w:pPr>
      <w:spacing w:before="100" w:after="100"/>
    </w:pPr>
    <w:rPr>
      <w:color w:val="80000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d7fa9"/>
    <w:pPr/>
    <w:rPr>
      <w:rFonts w:ascii="Tahoma" w:hAnsi="Tahoma"/>
      <w:sz w:val="16"/>
      <w:szCs w:val="16"/>
      <w:lang w:val="x-none"/>
    </w:rPr>
  </w:style>
  <w:style w:type="paragraph" w:styleId="12" w:customStyle="1">
    <w:name w:val="Обычный (веб)1"/>
    <w:basedOn w:val="Normal"/>
    <w:uiPriority w:val="99"/>
    <w:unhideWhenUsed/>
    <w:qFormat/>
    <w:rsid w:val="005e7865"/>
    <w:pPr>
      <w:spacing w:beforeAutospacing="1" w:afterAutospacing="1"/>
    </w:pPr>
    <w:rPr/>
  </w:style>
  <w:style w:type="paragraph" w:styleId="Style26">
    <w:name w:val="Footnote Text"/>
    <w:basedOn w:val="Normal"/>
    <w:link w:val="Style16"/>
    <w:uiPriority w:val="99"/>
    <w:semiHidden/>
    <w:unhideWhenUsed/>
    <w:rsid w:val="005e7865"/>
    <w:pPr/>
    <w:rPr>
      <w:sz w:val="20"/>
      <w:szCs w:val="20"/>
      <w:lang w:val="x-none" w:eastAsia="x-none"/>
    </w:rPr>
  </w:style>
  <w:style w:type="paragraph" w:styleId="Default" w:customStyle="1">
    <w:name w:val="Default"/>
    <w:qFormat/>
    <w:rsid w:val="009206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3">
    <w:name w:val="Схема документа1"/>
    <w:basedOn w:val="Normal"/>
    <w:qFormat/>
    <w:pPr>
      <w:shd w:fill="000080"/>
    </w:pPr>
    <w:rPr>
      <w:rFonts w:ascii="Tahoma" w:hAnsi="Tahoma" w:cs="Tahoma"/>
      <w:sz w:val="20"/>
      <w:szCs w:val="20"/>
    </w:rPr>
  </w:style>
  <w:style w:type="paragraph" w:styleId="14">
    <w:name w:val="Указатель1"/>
    <w:basedOn w:val="Normal"/>
    <w:qFormat/>
    <w:pPr/>
    <w:rPr>
      <w:rFonts w:cs="Lucida Sans"/>
    </w:rPr>
  </w:style>
  <w:style w:type="paragraph" w:styleId="Style27">
    <w:name w:val="Название объекта"/>
    <w:basedOn w:val="Normal"/>
    <w:qFormat/>
    <w:pPr>
      <w:spacing w:before="120" w:after="120"/>
    </w:pPr>
    <w:rPr>
      <w:rFonts w:cs="Lucida Sans"/>
      <w:i/>
      <w:iCs/>
    </w:rPr>
  </w:style>
  <w:style w:type="paragraph" w:styleId="15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jif28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0208-1EE2-4969-8B2C-2ADA67F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LibreOffice/7.4.7.2$Windows_X86_64 LibreOffice_project/723314e595e8007d3cf785c16538505a1c878ca5</Application>
  <AppVersion>15.0000</AppVersion>
  <Pages>1</Pages>
  <Words>381</Words>
  <Characters>2648</Characters>
  <CharactersWithSpaces>3015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2022-12-21T07:56:00Z</dcterms:created>
  <dc:creator>Гость</dc:creator>
  <dc:description/>
  <dc:language>ru-RU</dc:language>
  <cp:lastModifiedBy/>
  <cp:lastPrinted>2018-01-16T10:08:00Z</cp:lastPrinted>
  <dcterms:modified xsi:type="dcterms:W3CDTF">2024-01-31T11:20:02Z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