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3C0E" w14:textId="20675F3D" w:rsidR="00AD3C67" w:rsidRDefault="00AD3C67" w:rsidP="00C54D5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C67">
        <w:rPr>
          <w:rFonts w:ascii="Times New Roman" w:hAnsi="Times New Roman" w:cs="Times New Roman"/>
          <w:b/>
          <w:bCs/>
          <w:sz w:val="24"/>
          <w:szCs w:val="24"/>
        </w:rPr>
        <w:t>Моделирование динамики воздействия электрического поля на доменную стенку в пленках с неоднородным магнитоэлектрическим взаимодействием</w:t>
      </w:r>
    </w:p>
    <w:p w14:paraId="4A977A2C" w14:textId="182B6E8E" w:rsidR="00C54D54" w:rsidRPr="00845843" w:rsidRDefault="00C54D54" w:rsidP="00C54D5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58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Мясников Н.В.</w:t>
      </w:r>
    </w:p>
    <w:p w14:paraId="1DE790C4" w14:textId="777AFAE5" w:rsidR="00C54D54" w:rsidRPr="00C54D54" w:rsidRDefault="00C54D54" w:rsidP="00C54D5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4D54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6CA7A755" w14:textId="3F331480" w:rsidR="00C54D54" w:rsidRPr="00C54D54" w:rsidRDefault="00C54D54" w:rsidP="00C54D5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4D54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 </w:t>
      </w:r>
    </w:p>
    <w:p w14:paraId="364BE30F" w14:textId="76CB49E2" w:rsidR="00C54D54" w:rsidRPr="00C54D54" w:rsidRDefault="00C54D54" w:rsidP="00C54D5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4D54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216CEBB3" w14:textId="4A957361" w:rsidR="00C54D54" w:rsidRPr="002B6FED" w:rsidRDefault="00D944A1" w:rsidP="00C54D5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44A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B6FE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944A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B6FE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C66539">
        <w:rPr>
          <w:rFonts w:ascii="Times New Roman" w:hAnsi="Times New Roman" w:cs="Times New Roman"/>
          <w:i/>
          <w:iCs/>
          <w:sz w:val="24"/>
          <w:szCs w:val="24"/>
          <w:lang w:val="en-US"/>
        </w:rPr>
        <w:t>miasnikov</w:t>
      </w:r>
      <w:proofErr w:type="spellEnd"/>
      <w:r w:rsidRPr="002B6FE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C66539">
        <w:rPr>
          <w:rFonts w:ascii="Times New Roman" w:hAnsi="Times New Roman" w:cs="Times New Roman"/>
          <w:i/>
          <w:iCs/>
          <w:sz w:val="24"/>
          <w:szCs w:val="24"/>
          <w:lang w:val="en-US"/>
        </w:rPr>
        <w:t>nv</w:t>
      </w:r>
      <w:proofErr w:type="spellEnd"/>
      <w:r w:rsidRPr="002B6FED">
        <w:rPr>
          <w:rFonts w:ascii="Times New Roman" w:hAnsi="Times New Roman" w:cs="Times New Roman"/>
          <w:i/>
          <w:iCs/>
          <w:sz w:val="24"/>
          <w:szCs w:val="24"/>
        </w:rPr>
        <w:t>16@</w:t>
      </w:r>
      <w:r w:rsidRPr="00C66539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</w:t>
      </w:r>
      <w:r w:rsidRPr="002B6FE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C66539"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proofErr w:type="spellEnd"/>
      <w:r w:rsidRPr="002B6FE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C66539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1D064D8D" w14:textId="77777777" w:rsidR="00C54D54" w:rsidRPr="002B6FED" w:rsidRDefault="00C54D54" w:rsidP="00C54D5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FFE7E" w14:textId="63E7D322" w:rsidR="00015865" w:rsidRDefault="00FD6F42" w:rsidP="00DD7C23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в мире активно развиваются альтернативные подходы к передаче информации, которые используют в качестве переносчика информации не заряд электрона, </w:t>
      </w:r>
      <w:r w:rsidR="005D69DE">
        <w:rPr>
          <w:rFonts w:ascii="Times New Roman" w:hAnsi="Times New Roman" w:cs="Times New Roman"/>
          <w:sz w:val="24"/>
          <w:szCs w:val="24"/>
        </w:rPr>
        <w:t>а, например, спин электрона (</w:t>
      </w:r>
      <w:proofErr w:type="spellStart"/>
      <w:r w:rsidR="005D69DE">
        <w:rPr>
          <w:rFonts w:ascii="Times New Roman" w:hAnsi="Times New Roman" w:cs="Times New Roman"/>
          <w:sz w:val="24"/>
          <w:szCs w:val="24"/>
        </w:rPr>
        <w:t>спинтроника</w:t>
      </w:r>
      <w:proofErr w:type="spellEnd"/>
      <w:r w:rsidR="00281B1B">
        <w:rPr>
          <w:rFonts w:ascii="Times New Roman" w:hAnsi="Times New Roman" w:cs="Times New Roman"/>
          <w:sz w:val="24"/>
          <w:szCs w:val="24"/>
        </w:rPr>
        <w:t xml:space="preserve"> </w:t>
      </w:r>
      <w:r w:rsidR="00281B1B" w:rsidRPr="00281B1B">
        <w:rPr>
          <w:rFonts w:ascii="Times New Roman" w:hAnsi="Times New Roman" w:cs="Times New Roman"/>
          <w:sz w:val="24"/>
          <w:szCs w:val="24"/>
        </w:rPr>
        <w:t>[6]</w:t>
      </w:r>
      <w:r w:rsidR="005D69DE">
        <w:rPr>
          <w:rFonts w:ascii="Times New Roman" w:hAnsi="Times New Roman" w:cs="Times New Roman"/>
          <w:sz w:val="24"/>
          <w:szCs w:val="24"/>
        </w:rPr>
        <w:t>) или коллективные возбуждения спинов (</w:t>
      </w:r>
      <w:proofErr w:type="spellStart"/>
      <w:r w:rsidR="005D69DE">
        <w:rPr>
          <w:rFonts w:ascii="Times New Roman" w:hAnsi="Times New Roman" w:cs="Times New Roman"/>
          <w:sz w:val="24"/>
          <w:szCs w:val="24"/>
        </w:rPr>
        <w:t>магноника</w:t>
      </w:r>
      <w:proofErr w:type="spellEnd"/>
      <w:r w:rsidR="00281B1B" w:rsidRPr="00281B1B">
        <w:rPr>
          <w:rFonts w:ascii="Times New Roman" w:hAnsi="Times New Roman" w:cs="Times New Roman"/>
          <w:sz w:val="24"/>
          <w:szCs w:val="24"/>
        </w:rPr>
        <w:t xml:space="preserve"> [1]</w:t>
      </w:r>
      <w:r w:rsidR="005D69DE">
        <w:rPr>
          <w:rFonts w:ascii="Times New Roman" w:hAnsi="Times New Roman" w:cs="Times New Roman"/>
          <w:sz w:val="24"/>
          <w:szCs w:val="24"/>
        </w:rPr>
        <w:t>). В области</w:t>
      </w:r>
      <w:r w:rsidR="0072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E6D">
        <w:rPr>
          <w:rFonts w:ascii="Times New Roman" w:hAnsi="Times New Roman" w:cs="Times New Roman"/>
          <w:sz w:val="24"/>
          <w:szCs w:val="24"/>
        </w:rPr>
        <w:t>спинтроники</w:t>
      </w:r>
      <w:proofErr w:type="spellEnd"/>
      <w:r w:rsidR="005D69DE">
        <w:rPr>
          <w:rFonts w:ascii="Times New Roman" w:hAnsi="Times New Roman" w:cs="Times New Roman"/>
          <w:sz w:val="24"/>
          <w:szCs w:val="24"/>
        </w:rPr>
        <w:t xml:space="preserve"> </w:t>
      </w:r>
      <w:r w:rsidR="0065231D" w:rsidRPr="0065231D">
        <w:rPr>
          <w:rFonts w:ascii="Times New Roman" w:hAnsi="Times New Roman" w:cs="Times New Roman"/>
          <w:sz w:val="24"/>
          <w:szCs w:val="24"/>
        </w:rPr>
        <w:t>возникает необходимость перестройки микромагнитной структуры внешним воздействием</w:t>
      </w:r>
      <w:r w:rsidR="005D69DE">
        <w:rPr>
          <w:rFonts w:ascii="Times New Roman" w:hAnsi="Times New Roman" w:cs="Times New Roman"/>
          <w:sz w:val="24"/>
          <w:szCs w:val="24"/>
        </w:rPr>
        <w:t>. В магнитных пленках феррита граната такая возможность появляется за счет неоднородного магнитоэлектрического взаимодействия.</w:t>
      </w:r>
      <w:r w:rsidR="00DD7C23">
        <w:rPr>
          <w:rFonts w:ascii="Times New Roman" w:hAnsi="Times New Roman" w:cs="Times New Roman"/>
          <w:sz w:val="24"/>
          <w:szCs w:val="24"/>
        </w:rPr>
        <w:t xml:space="preserve"> </w:t>
      </w:r>
      <w:r w:rsidR="005D69DE">
        <w:rPr>
          <w:rFonts w:ascii="Times New Roman" w:hAnsi="Times New Roman" w:cs="Times New Roman"/>
          <w:sz w:val="24"/>
          <w:szCs w:val="24"/>
        </w:rPr>
        <w:t xml:space="preserve">Это взаимодействие приводит к тому, что </w:t>
      </w:r>
      <w:r w:rsidR="00711019">
        <w:rPr>
          <w:rFonts w:ascii="Times New Roman" w:hAnsi="Times New Roman" w:cs="Times New Roman"/>
          <w:sz w:val="24"/>
          <w:szCs w:val="24"/>
        </w:rPr>
        <w:t>некоторые микромагнитные структуры (например, доменная стенк</w:t>
      </w:r>
      <w:r w:rsidR="00D33206">
        <w:rPr>
          <w:rFonts w:ascii="Times New Roman" w:hAnsi="Times New Roman" w:cs="Times New Roman"/>
          <w:sz w:val="24"/>
          <w:szCs w:val="24"/>
        </w:rPr>
        <w:t>а</w:t>
      </w:r>
      <w:r w:rsidR="00711019">
        <w:rPr>
          <w:rFonts w:ascii="Times New Roman" w:hAnsi="Times New Roman" w:cs="Times New Roman"/>
          <w:sz w:val="24"/>
          <w:szCs w:val="24"/>
        </w:rPr>
        <w:t>) обладают электрической поляризацией</w:t>
      </w:r>
      <w:r w:rsidR="00281B1B" w:rsidRPr="00281B1B">
        <w:rPr>
          <w:rFonts w:ascii="Times New Roman" w:hAnsi="Times New Roman" w:cs="Times New Roman"/>
          <w:sz w:val="24"/>
          <w:szCs w:val="24"/>
        </w:rPr>
        <w:t xml:space="preserve"> [2]</w:t>
      </w:r>
      <w:r w:rsidR="00711019">
        <w:rPr>
          <w:rFonts w:ascii="Times New Roman" w:hAnsi="Times New Roman" w:cs="Times New Roman"/>
          <w:sz w:val="24"/>
          <w:szCs w:val="24"/>
        </w:rPr>
        <w:t>. Данное свойство позволяет управлять микромагнитной структурой с помощью приложения внешнего электрического поля.</w:t>
      </w:r>
    </w:p>
    <w:p w14:paraId="23CAD342" w14:textId="6BFD955F" w:rsidR="00DD7C23" w:rsidRDefault="00015865" w:rsidP="00C66539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правило</w:t>
      </w:r>
      <w:r w:rsidRPr="00275C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моделировани</w:t>
      </w:r>
      <w:r w:rsidR="00E936D6">
        <w:rPr>
          <w:rFonts w:ascii="Times New Roman" w:hAnsi="Times New Roman" w:cs="Times New Roman"/>
          <w:sz w:val="24"/>
          <w:szCs w:val="24"/>
        </w:rPr>
        <w:t>е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воздействи</w:t>
      </w:r>
      <w:r w:rsidR="00E936D6">
        <w:rPr>
          <w:rFonts w:ascii="Times New Roman" w:hAnsi="Times New Roman" w:cs="Times New Roman"/>
          <w:sz w:val="24"/>
          <w:szCs w:val="24"/>
        </w:rPr>
        <w:t>я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электрического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поля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микромагнитные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структуры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сводится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моделированию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статических</w:t>
      </w:r>
      <w:r w:rsidRPr="00275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конфигураций</w:t>
      </w:r>
      <w:r w:rsidR="00E936D6">
        <w:rPr>
          <w:rFonts w:ascii="Times New Roman" w:hAnsi="Times New Roman" w:cs="Times New Roman"/>
          <w:sz w:val="24"/>
          <w:szCs w:val="24"/>
        </w:rPr>
        <w:t xml:space="preserve"> намагниченности</w:t>
      </w:r>
      <w:r w:rsidR="00281B1B" w:rsidRPr="00281B1B">
        <w:rPr>
          <w:rFonts w:ascii="Times New Roman" w:hAnsi="Times New Roman" w:cs="Times New Roman"/>
          <w:sz w:val="24"/>
          <w:szCs w:val="24"/>
        </w:rPr>
        <w:t xml:space="preserve"> [3,4,5</w:t>
      </w:r>
      <w:r w:rsidR="00281B1B" w:rsidRPr="00C66539">
        <w:rPr>
          <w:rFonts w:ascii="Times New Roman" w:hAnsi="Times New Roman" w:cs="Times New Roman"/>
          <w:sz w:val="24"/>
          <w:szCs w:val="24"/>
        </w:rPr>
        <w:t>]</w:t>
      </w:r>
      <w:r w:rsidR="008C220B" w:rsidRPr="00275CD6">
        <w:rPr>
          <w:rFonts w:ascii="Times New Roman" w:hAnsi="Times New Roman" w:cs="Times New Roman"/>
          <w:sz w:val="24"/>
          <w:szCs w:val="24"/>
        </w:rPr>
        <w:t xml:space="preserve">. </w:t>
      </w:r>
      <w:r w:rsidR="00DD7C23">
        <w:rPr>
          <w:rFonts w:ascii="Times New Roman" w:hAnsi="Times New Roman" w:cs="Times New Roman"/>
          <w:sz w:val="24"/>
          <w:szCs w:val="24"/>
        </w:rPr>
        <w:t>В данной работе решается задача моделирования динамики воздействия электрического поля на доменную стенку.</w:t>
      </w:r>
    </w:p>
    <w:p w14:paraId="14B4C57B" w14:textId="1C0C6D53" w:rsidR="008C220B" w:rsidRDefault="008C220B" w:rsidP="00C66539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динамических процессов может быть проведено на основе уравнения Ландау-Лифшица-Гильберта: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1"/>
        <w:gridCol w:w="473"/>
      </w:tblGrid>
      <w:tr w:rsidR="008515E2" w14:paraId="3BA1D35F" w14:textId="77777777" w:rsidTr="00AB3D39">
        <w:trPr>
          <w:trHeight w:val="603"/>
          <w:jc w:val="center"/>
        </w:trPr>
        <w:tc>
          <w:tcPr>
            <w:tcW w:w="8784" w:type="dxa"/>
            <w:vAlign w:val="center"/>
          </w:tcPr>
          <w:bookmarkStart w:id="0" w:name="_Hlk158988702"/>
          <w:p w14:paraId="1F2206AC" w14:textId="4EC03FD9" w:rsidR="008515E2" w:rsidRPr="008515E2" w:rsidRDefault="00000000" w:rsidP="00AD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∂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∂</m:t>
                    </m:r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γ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iCs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eff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α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sub>
                    </m:sSub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∂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∂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,</m:t>
                </m:r>
              </m:oMath>
            </m:oMathPara>
          </w:p>
        </w:tc>
        <w:tc>
          <w:tcPr>
            <w:tcW w:w="390" w:type="dxa"/>
            <w:vAlign w:val="center"/>
          </w:tcPr>
          <w:p w14:paraId="7766BE5C" w14:textId="0D5EAE87" w:rsidR="008515E2" w:rsidRPr="008515E2" w:rsidRDefault="00D33206" w:rsidP="008515E2">
            <w:pPr>
              <w:pStyle w:val="a6"/>
              <w:keepNext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bookmarkStart w:id="1" w:name="_Ref158987308"/>
            <w:bookmarkStart w:id="2" w:name="_Ref158987364"/>
            <w:r w:rsidRPr="00926621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>(</w:t>
            </w:r>
            <w:r w:rsidR="008515E2" w:rsidRPr="00926621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fldChar w:fldCharType="begin"/>
            </w:r>
            <w:r w:rsidR="008515E2" w:rsidRPr="00926621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instrText xml:space="preserve"> SEQ Уравнение \* ARABIC </w:instrText>
            </w:r>
            <w:r w:rsidR="008515E2" w:rsidRPr="00926621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fldChar w:fldCharType="separate"/>
            </w:r>
            <w:r w:rsidR="004F15E2">
              <w:rPr>
                <w:rFonts w:ascii="Times New Roman" w:hAnsi="Times New Roman" w:cs="Times New Roman"/>
                <w:i w:val="0"/>
                <w:iCs w:val="0"/>
                <w:noProof/>
                <w:color w:val="auto"/>
                <w:sz w:val="22"/>
                <w:szCs w:val="22"/>
              </w:rPr>
              <w:t>1</w:t>
            </w:r>
            <w:r w:rsidR="008515E2" w:rsidRPr="00926621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fldChar w:fldCharType="end"/>
            </w:r>
            <w:bookmarkEnd w:id="1"/>
            <w:r w:rsidRPr="00926621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>)</w:t>
            </w:r>
            <w:bookmarkEnd w:id="2"/>
          </w:p>
        </w:tc>
      </w:tr>
      <w:tr w:rsidR="008515E2" w14:paraId="1E995DC2" w14:textId="77777777" w:rsidTr="00AB3D39">
        <w:trPr>
          <w:trHeight w:val="611"/>
          <w:jc w:val="center"/>
        </w:trPr>
        <w:tc>
          <w:tcPr>
            <w:tcW w:w="8784" w:type="dxa"/>
            <w:vAlign w:val="center"/>
          </w:tcPr>
          <w:p w14:paraId="4A36B868" w14:textId="4602E334" w:rsidR="008515E2" w:rsidRPr="008515E2" w:rsidRDefault="00000000" w:rsidP="008515E2">
            <w:pPr>
              <w:keepNext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eff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δ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390" w:type="dxa"/>
            <w:vAlign w:val="center"/>
          </w:tcPr>
          <w:p w14:paraId="304D3FE7" w14:textId="7705CFD2" w:rsidR="008515E2" w:rsidRPr="008515E2" w:rsidRDefault="008515E2" w:rsidP="00AD3C67">
            <w:pPr>
              <w:rPr>
                <w:rFonts w:ascii="Times New Roman" w:hAnsi="Times New Roman" w:cs="Times New Roman"/>
              </w:rPr>
            </w:pPr>
            <w:bookmarkStart w:id="3" w:name="_Ref158987312"/>
            <w:r w:rsidRPr="008515E2">
              <w:rPr>
                <w:rFonts w:ascii="Times New Roman" w:hAnsi="Times New Roman" w:cs="Times New Roman"/>
              </w:rPr>
              <w:t>(</w:t>
            </w:r>
            <w:r w:rsidRPr="008515E2">
              <w:rPr>
                <w:rFonts w:ascii="Times New Roman" w:hAnsi="Times New Roman" w:cs="Times New Roman"/>
              </w:rPr>
              <w:fldChar w:fldCharType="begin"/>
            </w:r>
            <w:r w:rsidRPr="008515E2">
              <w:rPr>
                <w:rFonts w:ascii="Times New Roman" w:hAnsi="Times New Roman" w:cs="Times New Roman"/>
              </w:rPr>
              <w:instrText xml:space="preserve"> SEQ Уравнение \* ARABIC </w:instrText>
            </w:r>
            <w:r w:rsidRPr="008515E2">
              <w:rPr>
                <w:rFonts w:ascii="Times New Roman" w:hAnsi="Times New Roman" w:cs="Times New Roman"/>
              </w:rPr>
              <w:fldChar w:fldCharType="separate"/>
            </w:r>
            <w:r w:rsidR="004F15E2">
              <w:rPr>
                <w:rFonts w:ascii="Times New Roman" w:hAnsi="Times New Roman" w:cs="Times New Roman"/>
                <w:noProof/>
              </w:rPr>
              <w:t>2</w:t>
            </w:r>
            <w:r w:rsidRPr="008515E2">
              <w:rPr>
                <w:rFonts w:ascii="Times New Roman" w:hAnsi="Times New Roman" w:cs="Times New Roman"/>
              </w:rPr>
              <w:fldChar w:fldCharType="end"/>
            </w:r>
            <w:r w:rsidRPr="008515E2">
              <w:rPr>
                <w:rFonts w:ascii="Times New Roman" w:hAnsi="Times New Roman" w:cs="Times New Roman"/>
              </w:rPr>
              <w:t>)</w:t>
            </w:r>
            <w:bookmarkEnd w:id="3"/>
          </w:p>
        </w:tc>
      </w:tr>
    </w:tbl>
    <w:bookmarkEnd w:id="0"/>
    <w:p w14:paraId="2D17859E" w14:textId="16033527" w:rsidR="00D33206" w:rsidRDefault="008515E2" w:rsidP="008515E2">
      <w:pPr>
        <w:spacing w:line="240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- вектор намагниченности,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eff</m:t>
            </m:r>
          </m:sup>
        </m:sSup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>- эффективное магнитное поля, определяемое как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9763A">
        <w:rPr>
          <w:rFonts w:ascii="Times New Roman" w:eastAsiaTheme="minorEastAsia" w:hAnsi="Times New Roman" w:cs="Times New Roman"/>
          <w:sz w:val="24"/>
          <w:szCs w:val="24"/>
        </w:rPr>
        <w:t xml:space="preserve">вариационная производная от свободной энергии </w:t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M</m:t>
            </m:r>
          </m:e>
        </m:d>
      </m:oMath>
      <w:r w:rsidR="0049763A">
        <w:rPr>
          <w:rFonts w:ascii="Times New Roman" w:eastAsiaTheme="minorEastAsia" w:hAnsi="Times New Roman" w:cs="Times New Roman"/>
          <w:iCs/>
        </w:rPr>
        <w:t xml:space="preserve"> </w:t>
      </w:r>
      <w:r w:rsidR="004976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M</m:t>
        </m:r>
      </m:oMath>
      <w:r w:rsidR="004976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γ</m:t>
            </m:r>
          </m:e>
        </m:d>
      </m:oMath>
      <w:r w:rsidR="0049763A">
        <w:rPr>
          <w:rFonts w:ascii="Times New Roman" w:eastAsiaTheme="minorEastAsia" w:hAnsi="Times New Roman" w:cs="Times New Roman"/>
          <w:iCs/>
        </w:rPr>
        <w:t xml:space="preserve"> – </w:t>
      </w:r>
      <w:r w:rsidR="0049763A">
        <w:rPr>
          <w:rFonts w:ascii="Times New Roman" w:eastAsiaTheme="minorEastAsia" w:hAnsi="Times New Roman" w:cs="Times New Roman"/>
          <w:iCs/>
          <w:sz w:val="24"/>
          <w:szCs w:val="24"/>
        </w:rPr>
        <w:t>гиромагнитное отношение</w:t>
      </w:r>
      <w:r w:rsidR="00DD7C2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для</w:t>
      </w:r>
      <w:r w:rsidR="0049763A">
        <w:rPr>
          <w:rFonts w:ascii="Times New Roman" w:eastAsiaTheme="minorEastAsia" w:hAnsi="Times New Roman" w:cs="Times New Roman"/>
          <w:b/>
          <w:bCs/>
          <w:iCs/>
        </w:rPr>
        <w:t xml:space="preserve"> </w:t>
      </w:r>
      <w:r w:rsidR="00074C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электрона, </w:t>
      </w:r>
      <m:oMath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="00074C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– константа затухания,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 w:rsidR="00074CFD">
        <w:rPr>
          <w:rFonts w:ascii="Times New Roman" w:eastAsiaTheme="minorEastAsia" w:hAnsi="Times New Roman" w:cs="Times New Roman"/>
          <w:iCs/>
        </w:rPr>
        <w:t xml:space="preserve"> </w:t>
      </w:r>
      <w:r w:rsidR="00074CFD" w:rsidRPr="00074CFD">
        <w:rPr>
          <w:rFonts w:ascii="Times New Roman" w:eastAsiaTheme="minorEastAsia" w:hAnsi="Times New Roman" w:cs="Times New Roman"/>
          <w:iCs/>
          <w:sz w:val="24"/>
          <w:szCs w:val="24"/>
        </w:rPr>
        <w:t>– намагниченность насыщения</w:t>
      </w:r>
      <w:r w:rsidR="00074CFD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4E2CB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Неоднородно</w:t>
      </w:r>
      <w:r w:rsidR="002B6FED">
        <w:rPr>
          <w:rFonts w:ascii="Times New Roman" w:eastAsiaTheme="minorEastAsia" w:hAnsi="Times New Roman" w:cs="Times New Roman"/>
          <w:iCs/>
          <w:sz w:val="24"/>
          <w:szCs w:val="24"/>
        </w:rPr>
        <w:t>е</w:t>
      </w:r>
      <w:r w:rsidR="004E2CB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магнитоэлектрическое взаимодействие может быть включено в модель за счет дополнительного слагаемого в потенциале свободной энергии</w:t>
      </w:r>
      <w:r w:rsidR="0001679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1679B" w:rsidRPr="00281B1B">
        <w:rPr>
          <w:rFonts w:ascii="Times New Roman" w:hAnsi="Times New Roman" w:cs="Times New Roman"/>
          <w:sz w:val="24"/>
          <w:szCs w:val="24"/>
        </w:rPr>
        <w:t>[2]</w:t>
      </w:r>
      <w:r w:rsidR="004E2CBC"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1"/>
        <w:gridCol w:w="473"/>
      </w:tblGrid>
      <w:tr w:rsidR="004E2CBC" w14:paraId="1841D385" w14:textId="77777777" w:rsidTr="00672679">
        <w:trPr>
          <w:trHeight w:val="603"/>
          <w:jc w:val="center"/>
        </w:trPr>
        <w:tc>
          <w:tcPr>
            <w:tcW w:w="8701" w:type="dxa"/>
            <w:vAlign w:val="center"/>
          </w:tcPr>
          <w:p w14:paraId="0950C805" w14:textId="3A89A757" w:rsidR="004E2CBC" w:rsidRPr="008515E2" w:rsidRDefault="00000000" w:rsidP="0069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en-US"/>
                      </w:rPr>
                      <m:t>me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en-US"/>
                      </w:rPr>
                      <m:t>-γ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en-US"/>
                      </w:rPr>
                      <m:t>me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noProof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lang w:val="en-US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noProof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lang w:val="en-US"/>
                          </w:rPr>
                          <m:t>∇</m:t>
                        </m:r>
                        <m:r>
                          <w:rPr>
                            <w:rFonts w:ascii="Cambria Math" w:hAnsi="Cambria Math"/>
                            <w:noProof/>
                            <w:lang w:val="en-US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lang w:val="en-US"/>
                          </w:rPr>
                          <m:t>m</m:t>
                        </m:r>
                      </m:e>
                    </m:d>
                    <m:r>
                      <w:rPr>
                        <w:rFonts w:ascii="Cambria Math" w:hAnsi="Cambria Math"/>
                        <w:noProof/>
                        <w:lang w:val="en-US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iCs/>
                            <w:noProof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noProof/>
                            <w:lang w:val="en-US"/>
                          </w:rPr>
                          <m:t>×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noProof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lang w:val="en-US"/>
                              </w:rPr>
                              <m:t>∇</m:t>
                            </m:r>
                            <m:r>
                              <w:rPr>
                                <w:rFonts w:ascii="Cambria Math" w:hAnsi="Cambria Math"/>
                                <w:noProof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lang w:val="en-US"/>
                              </w:rPr>
                              <m:t>m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,</m:t>
                </m:r>
              </m:oMath>
            </m:oMathPara>
          </w:p>
        </w:tc>
        <w:tc>
          <w:tcPr>
            <w:tcW w:w="473" w:type="dxa"/>
            <w:vAlign w:val="center"/>
          </w:tcPr>
          <w:p w14:paraId="7B160EC7" w14:textId="3A8FD5DD" w:rsidR="004E2CBC" w:rsidRPr="008515E2" w:rsidRDefault="004E2CBC" w:rsidP="006963DB">
            <w:pPr>
              <w:pStyle w:val="a6"/>
              <w:keepNext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75E37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>(</w:t>
            </w:r>
            <w:r w:rsidRPr="00075E37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fldChar w:fldCharType="begin"/>
            </w:r>
            <w:r w:rsidRPr="00075E37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instrText xml:space="preserve"> SEQ Уравнение \* ARABIC </w:instrText>
            </w:r>
            <w:r w:rsidRPr="00075E37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fldChar w:fldCharType="separate"/>
            </w:r>
            <w:r w:rsidR="004F15E2">
              <w:rPr>
                <w:rFonts w:ascii="Times New Roman" w:hAnsi="Times New Roman" w:cs="Times New Roman"/>
                <w:i w:val="0"/>
                <w:iCs w:val="0"/>
                <w:noProof/>
                <w:color w:val="auto"/>
                <w:sz w:val="22"/>
                <w:szCs w:val="22"/>
              </w:rPr>
              <w:t>3</w:t>
            </w:r>
            <w:r w:rsidRPr="00075E37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fldChar w:fldCharType="end"/>
            </w:r>
            <w:r w:rsidRPr="00075E37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>)</w:t>
            </w:r>
          </w:p>
        </w:tc>
      </w:tr>
    </w:tbl>
    <w:p w14:paraId="3B1CA971" w14:textId="77777777" w:rsidR="00341B7A" w:rsidRDefault="004E2CBC" w:rsidP="00DD7C23">
      <w:pPr>
        <w:spacing w:line="240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γ</m:t>
            </m:r>
          </m:e>
          <m:sub>
            <m:r>
              <w:rPr>
                <w:rFonts w:ascii="Cambria Math" w:hAnsi="Cambria Math"/>
                <w:noProof/>
                <w:lang w:val="en-US"/>
              </w:rPr>
              <m:t>me</m:t>
            </m:r>
          </m:sub>
        </m:sSub>
      </m:oMath>
      <w:r w:rsidRPr="004E2CBC">
        <w:rPr>
          <w:rFonts w:ascii="Times New Roman" w:eastAsiaTheme="minorEastAsia" w:hAnsi="Times New Roman" w:cs="Times New Roman"/>
        </w:rPr>
        <w:t xml:space="preserve"> – </w:t>
      </w:r>
      <w:r w:rsidRPr="004E2CBC">
        <w:rPr>
          <w:rFonts w:ascii="Times New Roman" w:eastAsiaTheme="minorEastAsia" w:hAnsi="Times New Roman" w:cs="Times New Roman"/>
          <w:sz w:val="24"/>
          <w:szCs w:val="24"/>
        </w:rPr>
        <w:t>константа 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агнитоэлектрического взаимодействия, </w:t>
      </w: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  <w:lang w:val="en-US"/>
          </w:rPr>
          <m:t>E</m:t>
        </m:r>
      </m:oMath>
      <w:r w:rsidRPr="004E2CBC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- электрическое поле внутри среды, </w:t>
      </w:r>
      <m:oMath>
        <m:r>
          <m:rPr>
            <m:sty m:val="bi"/>
          </m:rPr>
          <w:rPr>
            <w:rFonts w:ascii="Cambria Math" w:hAnsi="Cambria Math"/>
            <w:noProof/>
            <w:sz w:val="24"/>
            <w:szCs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– нормированный на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вектор намагниченности.</w:t>
      </w:r>
      <w:r w:rsidR="00DD7C23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D332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С помощью уравнений </w:t>
      </w:r>
      <w:r w:rsidR="00672679">
        <w:rPr>
          <w:rFonts w:ascii="Times New Roman" w:eastAsiaTheme="minorEastAsia" w:hAnsi="Times New Roman" w:cs="Times New Roman"/>
          <w:iCs/>
          <w:sz w:val="24"/>
          <w:szCs w:val="24"/>
        </w:rPr>
        <w:t xml:space="preserve">(1-3) </w:t>
      </w:r>
      <w:r w:rsidR="00D33206">
        <w:rPr>
          <w:rFonts w:ascii="Times New Roman" w:eastAsiaTheme="minorEastAsia" w:hAnsi="Times New Roman" w:cs="Times New Roman"/>
          <w:iCs/>
          <w:sz w:val="24"/>
          <w:szCs w:val="24"/>
        </w:rPr>
        <w:t>был проведен численный расчет динамики намагниченности в среде</w:t>
      </w:r>
      <w:r w:rsidR="00275CD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с параметрами, </w:t>
      </w:r>
      <w:r w:rsidR="00D33206">
        <w:rPr>
          <w:rFonts w:ascii="Times New Roman" w:eastAsiaTheme="minorEastAsia" w:hAnsi="Times New Roman" w:cs="Times New Roman"/>
          <w:iCs/>
          <w:sz w:val="24"/>
          <w:szCs w:val="24"/>
        </w:rPr>
        <w:t>характерными для пленок феррита граната.</w:t>
      </w:r>
      <w:r w:rsidR="00A336A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14:paraId="4D3178A3" w14:textId="49401970" w:rsidR="009D6FE1" w:rsidRPr="00DD7C23" w:rsidRDefault="00A336A3" w:rsidP="00341B7A">
      <w:pPr>
        <w:spacing w:line="240" w:lineRule="auto"/>
        <w:ind w:firstLine="397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Расчет показал, что в результате воздействия электрического поля на доменную стенку она возмущается, что приводит к появлению спиновых волн с характерными частотой 10 ГГц и длиной волны 500 нм</w:t>
      </w:r>
      <w:r w:rsidR="0097793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(Рис 1.)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5285493A" w14:textId="098FCE8D" w:rsidR="009D6FE1" w:rsidRDefault="009D6FE1" w:rsidP="009D6FE1">
      <w:pPr>
        <w:spacing w:line="240" w:lineRule="auto"/>
        <w:ind w:firstLine="397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Р</w:t>
      </w:r>
      <w:r w:rsidRPr="009D6FE1">
        <w:rPr>
          <w:rFonts w:ascii="Times New Roman" w:eastAsiaTheme="minorEastAsia" w:hAnsi="Times New Roman" w:cs="Times New Roman"/>
          <w:iCs/>
          <w:sz w:val="24"/>
          <w:szCs w:val="24"/>
        </w:rPr>
        <w:t>абота была поддержана грантом Фонда развития теоретической физики и математики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9D6FE1">
        <w:rPr>
          <w:rFonts w:ascii="Times New Roman" w:eastAsiaTheme="minorEastAsia" w:hAnsi="Times New Roman" w:cs="Times New Roman"/>
          <w:iCs/>
          <w:sz w:val="24"/>
          <w:szCs w:val="24"/>
        </w:rPr>
        <w:t>«БАЗИС»</w:t>
      </w:r>
      <w:r w:rsidR="00C601D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(п</w:t>
      </w:r>
      <w:r w:rsidR="00C601DD" w:rsidRPr="00C601DD"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рограмма Junior </w:t>
      </w:r>
      <w:proofErr w:type="spellStart"/>
      <w:r w:rsidR="00C601DD" w:rsidRPr="00C601DD">
        <w:rPr>
          <w:rFonts w:ascii="Times New Roman" w:eastAsiaTheme="minorEastAsia" w:hAnsi="Times New Roman" w:cs="Times New Roman"/>
          <w:iCs/>
          <w:sz w:val="24"/>
          <w:szCs w:val="24"/>
        </w:rPr>
        <w:t>Leader</w:t>
      </w:r>
      <w:proofErr w:type="spellEnd"/>
      <w:r w:rsidR="00C601DD">
        <w:rPr>
          <w:rFonts w:ascii="Times New Roman" w:eastAsiaTheme="minorEastAsia" w:hAnsi="Times New Roman" w:cs="Times New Roman"/>
          <w:iCs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522FD1C1" w14:textId="77777777" w:rsidR="004241A5" w:rsidRDefault="00A336A3" w:rsidP="004241A5">
      <w:pPr>
        <w:keepNext/>
        <w:spacing w:line="240" w:lineRule="auto"/>
        <w:ind w:firstLine="397"/>
        <w:jc w:val="center"/>
      </w:pPr>
      <w:r>
        <w:rPr>
          <w:rFonts w:ascii="Times New Roman" w:eastAsiaTheme="minorEastAsia" w:hAnsi="Times New Roman" w:cs="Times New Roman"/>
          <w:iCs/>
          <w:noProof/>
          <w:sz w:val="24"/>
          <w:szCs w:val="24"/>
        </w:rPr>
        <w:lastRenderedPageBreak/>
        <w:drawing>
          <wp:inline distT="0" distB="0" distL="0" distR="0" wp14:anchorId="0D54ECE8" wp14:editId="5D5F8C20">
            <wp:extent cx="3403600" cy="2478950"/>
            <wp:effectExtent l="0" t="0" r="6350" b="0"/>
            <wp:docPr id="193447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7558" name="Рисунок 193447558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457" cy="249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878B8" w14:textId="76306761" w:rsidR="00D33206" w:rsidRPr="004241A5" w:rsidRDefault="004241A5" w:rsidP="004241A5">
      <w:pPr>
        <w:pStyle w:val="a6"/>
        <w:jc w:val="center"/>
        <w:rPr>
          <w:rFonts w:ascii="Times New Roman" w:eastAsiaTheme="minorEastAsia" w:hAnsi="Times New Roman" w:cs="Times New Roman"/>
          <w:i w:val="0"/>
          <w:iCs w:val="0"/>
          <w:color w:val="auto"/>
          <w:sz w:val="22"/>
          <w:szCs w:val="22"/>
        </w:rPr>
      </w:pPr>
      <w:r w:rsidRPr="004241A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Рис. </w:t>
      </w:r>
      <w:r w:rsidRPr="004241A5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begin"/>
      </w:r>
      <w:r w:rsidRPr="004241A5">
        <w:rPr>
          <w:rFonts w:ascii="Times New Roman" w:hAnsi="Times New Roman" w:cs="Times New Roman"/>
          <w:b/>
          <w:bCs/>
          <w:color w:val="auto"/>
          <w:sz w:val="22"/>
          <w:szCs w:val="22"/>
        </w:rPr>
        <w:instrText xml:space="preserve"> SEQ Рис. \* ARABIC </w:instrText>
      </w:r>
      <w:r w:rsidRPr="004241A5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separate"/>
      </w:r>
      <w:r w:rsidR="004F15E2">
        <w:rPr>
          <w:rFonts w:ascii="Times New Roman" w:hAnsi="Times New Roman" w:cs="Times New Roman"/>
          <w:b/>
          <w:bCs/>
          <w:noProof/>
          <w:color w:val="auto"/>
          <w:sz w:val="22"/>
          <w:szCs w:val="22"/>
        </w:rPr>
        <w:t>1</w:t>
      </w:r>
      <w:r w:rsidRPr="004241A5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end"/>
      </w:r>
      <w:r w:rsidRPr="004241A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Результат моделирования</w:t>
      </w:r>
      <w:r w:rsidR="0084584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: возникающие спиновые волны</w:t>
      </w:r>
    </w:p>
    <w:p w14:paraId="4C89DE3C" w14:textId="427DD3A9" w:rsidR="00FD6F42" w:rsidRDefault="000D40F0" w:rsidP="00275C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40F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8944"/>
      </w:tblGrid>
      <w:tr w:rsidR="000D40F0" w:rsidRPr="009D6FE1" w14:paraId="4EF3B878" w14:textId="77777777" w:rsidTr="006963DB">
        <w:trPr>
          <w:tblCellSpacing w:w="15" w:type="dxa"/>
        </w:trPr>
        <w:tc>
          <w:tcPr>
            <w:tcW w:w="50" w:type="pct"/>
            <w:hideMark/>
          </w:tcPr>
          <w:p w14:paraId="11312026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3B75E9">
              <w:rPr>
                <w:rFonts w:ascii="Times New Roman" w:hAnsi="Times New Roman" w:cs="Times New Roman"/>
                <w:noProof/>
              </w:rPr>
              <w:t xml:space="preserve">1. </w:t>
            </w:r>
          </w:p>
        </w:tc>
        <w:tc>
          <w:tcPr>
            <w:tcW w:w="0" w:type="auto"/>
            <w:hideMark/>
          </w:tcPr>
          <w:p w14:paraId="24AAFE8A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  <w:lang w:val="en-US"/>
              </w:rPr>
            </w:pP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A. Barman et al., «The 2021 Magnonics Roadmap» </w:t>
            </w:r>
            <w:r w:rsidRPr="003B75E9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Journal of Physics: Condensed Matter, </w:t>
            </w:r>
            <w:r w:rsidRPr="003B75E9">
              <w:rPr>
                <w:rFonts w:ascii="Times New Roman" w:hAnsi="Times New Roman" w:cs="Times New Roman"/>
                <w:noProof/>
              </w:rPr>
              <w:t>т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. 33, p. 413001, August 2021. </w:t>
            </w:r>
          </w:p>
        </w:tc>
      </w:tr>
      <w:tr w:rsidR="000D40F0" w:rsidRPr="009D6FE1" w14:paraId="1787DF6C" w14:textId="77777777" w:rsidTr="006963DB">
        <w:trPr>
          <w:tblCellSpacing w:w="15" w:type="dxa"/>
        </w:trPr>
        <w:tc>
          <w:tcPr>
            <w:tcW w:w="50" w:type="pct"/>
            <w:hideMark/>
          </w:tcPr>
          <w:p w14:paraId="76F8A03E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3B75E9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0" w:type="auto"/>
            <w:hideMark/>
          </w:tcPr>
          <w:p w14:paraId="3B2863C2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  <w:lang w:val="en-US"/>
              </w:rPr>
            </w:pP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A. P. Pyatakov, G. A. Meshkov </w:t>
            </w:r>
            <w:r w:rsidRPr="003B75E9">
              <w:rPr>
                <w:rFonts w:ascii="Times New Roman" w:hAnsi="Times New Roman" w:cs="Times New Roman"/>
                <w:noProof/>
              </w:rPr>
              <w:t>и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 A. K. Zvezdin, «Electric polarization of magnetic textures: New horizons of micromagnetism» </w:t>
            </w:r>
            <w:r w:rsidRPr="003B75E9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Journal of Magnetism and Magnetic Materials, </w:t>
            </w:r>
            <w:r w:rsidRPr="003B75E9">
              <w:rPr>
                <w:rFonts w:ascii="Times New Roman" w:hAnsi="Times New Roman" w:cs="Times New Roman"/>
                <w:noProof/>
              </w:rPr>
              <w:t>т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. 324, № 21, p. 3551–3554, October 2012. </w:t>
            </w:r>
          </w:p>
        </w:tc>
      </w:tr>
      <w:tr w:rsidR="000D40F0" w:rsidRPr="009D6FE1" w14:paraId="71AEA9A3" w14:textId="77777777" w:rsidTr="006963DB">
        <w:trPr>
          <w:tblCellSpacing w:w="15" w:type="dxa"/>
        </w:trPr>
        <w:tc>
          <w:tcPr>
            <w:tcW w:w="50" w:type="pct"/>
            <w:hideMark/>
          </w:tcPr>
          <w:p w14:paraId="5292F2D2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3B75E9">
              <w:rPr>
                <w:rFonts w:ascii="Times New Roman" w:hAnsi="Times New Roman" w:cs="Times New Roman"/>
                <w:noProof/>
              </w:rPr>
              <w:t xml:space="preserve">3. </w:t>
            </w:r>
          </w:p>
        </w:tc>
        <w:tc>
          <w:tcPr>
            <w:tcW w:w="0" w:type="auto"/>
            <w:hideMark/>
          </w:tcPr>
          <w:p w14:paraId="6A7A5228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  <w:lang w:val="en-US"/>
              </w:rPr>
            </w:pP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D. P. Kulikova, T. T. Gareev, E. P. Nikolaeva, T. B. Kosykh, A. V. Nikolaev, Z. A. Pyatakova, A. K. Zvezdin </w:t>
            </w:r>
            <w:r w:rsidRPr="003B75E9">
              <w:rPr>
                <w:rFonts w:ascii="Times New Roman" w:hAnsi="Times New Roman" w:cs="Times New Roman"/>
                <w:noProof/>
              </w:rPr>
              <w:t>и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 A. P. Pyatakov, «The Mechanisms of Electric Field-Induced Magnetic Bubble Domain Blowing» </w:t>
            </w:r>
            <w:r w:rsidRPr="003B75E9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physica status solidi (RRL) - Rapid Research Letters, </w:t>
            </w:r>
            <w:r w:rsidRPr="003B75E9">
              <w:rPr>
                <w:rFonts w:ascii="Times New Roman" w:hAnsi="Times New Roman" w:cs="Times New Roman"/>
                <w:noProof/>
              </w:rPr>
              <w:t>т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. 12, p. 1800066, April 2018. </w:t>
            </w:r>
          </w:p>
        </w:tc>
      </w:tr>
      <w:tr w:rsidR="000D40F0" w:rsidRPr="009D6FE1" w14:paraId="05AAE300" w14:textId="77777777" w:rsidTr="006963DB">
        <w:trPr>
          <w:tblCellSpacing w:w="15" w:type="dxa"/>
        </w:trPr>
        <w:tc>
          <w:tcPr>
            <w:tcW w:w="50" w:type="pct"/>
            <w:hideMark/>
          </w:tcPr>
          <w:p w14:paraId="54AEBBA3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3B75E9">
              <w:rPr>
                <w:rFonts w:ascii="Times New Roman" w:hAnsi="Times New Roman" w:cs="Times New Roman"/>
                <w:noProof/>
              </w:rPr>
              <w:t xml:space="preserve">4. </w:t>
            </w:r>
          </w:p>
        </w:tc>
        <w:tc>
          <w:tcPr>
            <w:tcW w:w="0" w:type="auto"/>
            <w:hideMark/>
          </w:tcPr>
          <w:p w14:paraId="4E614BEF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  <w:lang w:val="en-US"/>
              </w:rPr>
            </w:pP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K. S. Antipin, T. T. Gareev, N. V. Myasnikov, E. P. Nikolaeva </w:t>
            </w:r>
            <w:r w:rsidRPr="003B75E9">
              <w:rPr>
                <w:rFonts w:ascii="Times New Roman" w:hAnsi="Times New Roman" w:cs="Times New Roman"/>
                <w:noProof/>
              </w:rPr>
              <w:t>и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 A. P. Pyatakov, «Bipolar electric field-induced nucleation of magnetic domains with 90 domain walls» </w:t>
            </w:r>
            <w:r w:rsidRPr="003B75E9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Journal of Applied Physics, </w:t>
            </w:r>
            <w:r w:rsidRPr="003B75E9">
              <w:rPr>
                <w:rFonts w:ascii="Times New Roman" w:hAnsi="Times New Roman" w:cs="Times New Roman"/>
                <w:noProof/>
              </w:rPr>
              <w:t>т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. 129, № 2, p. 24103, January 2021. </w:t>
            </w:r>
          </w:p>
        </w:tc>
      </w:tr>
      <w:tr w:rsidR="000D40F0" w:rsidRPr="009D6FE1" w14:paraId="62A6B9DF" w14:textId="77777777" w:rsidTr="006963DB">
        <w:trPr>
          <w:tblCellSpacing w:w="15" w:type="dxa"/>
        </w:trPr>
        <w:tc>
          <w:tcPr>
            <w:tcW w:w="50" w:type="pct"/>
            <w:hideMark/>
          </w:tcPr>
          <w:p w14:paraId="07D31BF2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3B75E9">
              <w:rPr>
                <w:rFonts w:ascii="Times New Roman" w:hAnsi="Times New Roman" w:cs="Times New Roman"/>
                <w:noProof/>
              </w:rPr>
              <w:t xml:space="preserve">5. </w:t>
            </w:r>
          </w:p>
        </w:tc>
        <w:tc>
          <w:tcPr>
            <w:tcW w:w="0" w:type="auto"/>
            <w:hideMark/>
          </w:tcPr>
          <w:p w14:paraId="48E3B515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  <w:lang w:val="en-US"/>
              </w:rPr>
            </w:pP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T. Srivastava et al., «Large-Voltage Tuning of Dzyaloshinskii–Moriya Interactions: A Route toward Dynamic Control of Skyrmion Chirality» </w:t>
            </w:r>
            <w:r w:rsidRPr="003B75E9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Nano Letters, </w:t>
            </w:r>
            <w:r w:rsidRPr="003B75E9">
              <w:rPr>
                <w:rFonts w:ascii="Times New Roman" w:hAnsi="Times New Roman" w:cs="Times New Roman"/>
                <w:noProof/>
              </w:rPr>
              <w:t>т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. 18, № 8, p. 4871–4877, June 2018. </w:t>
            </w:r>
          </w:p>
        </w:tc>
      </w:tr>
      <w:tr w:rsidR="000D40F0" w:rsidRPr="00EE78DC" w14:paraId="2A792C1A" w14:textId="77777777" w:rsidTr="006963DB">
        <w:trPr>
          <w:tblCellSpacing w:w="15" w:type="dxa"/>
        </w:trPr>
        <w:tc>
          <w:tcPr>
            <w:tcW w:w="50" w:type="pct"/>
            <w:hideMark/>
          </w:tcPr>
          <w:p w14:paraId="313598A6" w14:textId="77777777" w:rsidR="000D40F0" w:rsidRPr="003B75E9" w:rsidRDefault="000D40F0" w:rsidP="006963DB">
            <w:pPr>
              <w:pStyle w:val="a3"/>
              <w:rPr>
                <w:rFonts w:ascii="Times New Roman" w:hAnsi="Times New Roman" w:cs="Times New Roman"/>
                <w:noProof/>
                <w:kern w:val="0"/>
                <w14:ligatures w14:val="none"/>
              </w:rPr>
            </w:pPr>
            <w:r w:rsidRPr="003B75E9">
              <w:rPr>
                <w:rFonts w:ascii="Times New Roman" w:hAnsi="Times New Roman" w:cs="Times New Roman"/>
                <w:noProof/>
              </w:rPr>
              <w:t xml:space="preserve">6. </w:t>
            </w:r>
          </w:p>
        </w:tc>
        <w:tc>
          <w:tcPr>
            <w:tcW w:w="0" w:type="auto"/>
            <w:hideMark/>
          </w:tcPr>
          <w:p w14:paraId="702DDCB6" w14:textId="3E06A6DE" w:rsidR="000D40F0" w:rsidRPr="00EE78DC" w:rsidRDefault="000D40F0" w:rsidP="006963DB">
            <w:pPr>
              <w:pStyle w:val="a3"/>
              <w:rPr>
                <w:rFonts w:ascii="Times New Roman" w:hAnsi="Times New Roman" w:cs="Times New Roman"/>
                <w:noProof/>
                <w:lang w:val="en-US"/>
              </w:rPr>
            </w:pP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Y. V. Fetisov </w:t>
            </w:r>
            <w:r w:rsidRPr="003B75E9">
              <w:rPr>
                <w:rFonts w:ascii="Times New Roman" w:hAnsi="Times New Roman" w:cs="Times New Roman"/>
                <w:noProof/>
              </w:rPr>
              <w:t>и</w:t>
            </w:r>
            <w:r w:rsidRPr="003B75E9">
              <w:rPr>
                <w:rFonts w:ascii="Times New Roman" w:hAnsi="Times New Roman" w:cs="Times New Roman"/>
                <w:noProof/>
                <w:lang w:val="en-US"/>
              </w:rPr>
              <w:t xml:space="preserve"> A. S. Sigov, «Spintronics: Physical Foundations And Devices» </w:t>
            </w:r>
            <w:r w:rsidRPr="003B75E9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Radioelectronics. </w:t>
            </w:r>
            <w:r w:rsidRPr="00EE78DC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Nanosystems. Information Technologies, </w:t>
            </w:r>
            <w:r w:rsidRPr="003B75E9">
              <w:rPr>
                <w:rFonts w:ascii="Times New Roman" w:hAnsi="Times New Roman" w:cs="Times New Roman"/>
                <w:noProof/>
              </w:rPr>
              <w:t>т</w:t>
            </w:r>
            <w:r w:rsidRPr="00EE78DC">
              <w:rPr>
                <w:rFonts w:ascii="Times New Roman" w:hAnsi="Times New Roman" w:cs="Times New Roman"/>
                <w:noProof/>
                <w:lang w:val="en-US"/>
              </w:rPr>
              <w:t xml:space="preserve">. 10, № 3, pp. 343-356, December 2018. </w:t>
            </w:r>
          </w:p>
        </w:tc>
      </w:tr>
    </w:tbl>
    <w:p w14:paraId="034B5017" w14:textId="77777777" w:rsidR="000D40F0" w:rsidRPr="00EE78DC" w:rsidRDefault="000D40F0" w:rsidP="00275CD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D40F0" w:rsidRPr="00EE78DC" w:rsidSect="00C5096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2345"/>
    <w:multiLevelType w:val="hybridMultilevel"/>
    <w:tmpl w:val="B2CCC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C7B04"/>
    <w:multiLevelType w:val="hybridMultilevel"/>
    <w:tmpl w:val="2E9C9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74467">
    <w:abstractNumId w:val="0"/>
  </w:num>
  <w:num w:numId="2" w16cid:durableId="14347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67"/>
    <w:rsid w:val="00015865"/>
    <w:rsid w:val="0001679B"/>
    <w:rsid w:val="00074CFD"/>
    <w:rsid w:val="00075E37"/>
    <w:rsid w:val="000D40F0"/>
    <w:rsid w:val="000F6EF3"/>
    <w:rsid w:val="00103981"/>
    <w:rsid w:val="001E38E2"/>
    <w:rsid w:val="002241C9"/>
    <w:rsid w:val="00275CD6"/>
    <w:rsid w:val="00281B1B"/>
    <w:rsid w:val="00283DDF"/>
    <w:rsid w:val="002B6FED"/>
    <w:rsid w:val="00341B7A"/>
    <w:rsid w:val="004241A5"/>
    <w:rsid w:val="00491367"/>
    <w:rsid w:val="0049763A"/>
    <w:rsid w:val="004E2CBC"/>
    <w:rsid w:val="004F15E2"/>
    <w:rsid w:val="005D69DE"/>
    <w:rsid w:val="005F2739"/>
    <w:rsid w:val="00620ABC"/>
    <w:rsid w:val="0065231D"/>
    <w:rsid w:val="00672679"/>
    <w:rsid w:val="006A0E84"/>
    <w:rsid w:val="006B20FA"/>
    <w:rsid w:val="006C6AF8"/>
    <w:rsid w:val="00711019"/>
    <w:rsid w:val="00726E6D"/>
    <w:rsid w:val="00845843"/>
    <w:rsid w:val="008515E2"/>
    <w:rsid w:val="00893E64"/>
    <w:rsid w:val="008C220B"/>
    <w:rsid w:val="00926621"/>
    <w:rsid w:val="00977931"/>
    <w:rsid w:val="009D6FE1"/>
    <w:rsid w:val="00A336A3"/>
    <w:rsid w:val="00AB3D39"/>
    <w:rsid w:val="00AC0044"/>
    <w:rsid w:val="00AD3C67"/>
    <w:rsid w:val="00B5037B"/>
    <w:rsid w:val="00C425F3"/>
    <w:rsid w:val="00C50962"/>
    <w:rsid w:val="00C54D54"/>
    <w:rsid w:val="00C601DD"/>
    <w:rsid w:val="00C66539"/>
    <w:rsid w:val="00CC534A"/>
    <w:rsid w:val="00D33206"/>
    <w:rsid w:val="00D944A1"/>
    <w:rsid w:val="00D946CB"/>
    <w:rsid w:val="00DA6148"/>
    <w:rsid w:val="00DD7C23"/>
    <w:rsid w:val="00DE6BB7"/>
    <w:rsid w:val="00DF14C9"/>
    <w:rsid w:val="00E3058B"/>
    <w:rsid w:val="00E625E9"/>
    <w:rsid w:val="00E936D6"/>
    <w:rsid w:val="00ED1C56"/>
    <w:rsid w:val="00EE78DC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F5CA"/>
  <w15:chartTrackingRefBased/>
  <w15:docId w15:val="{7F95CBBF-682C-49A1-BC3C-84D0770B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F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F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3">
    <w:name w:val="Bibliography"/>
    <w:basedOn w:val="a"/>
    <w:next w:val="a"/>
    <w:uiPriority w:val="37"/>
    <w:unhideWhenUsed/>
    <w:rsid w:val="00FD6F42"/>
  </w:style>
  <w:style w:type="character" w:styleId="a4">
    <w:name w:val="Placeholder Text"/>
    <w:basedOn w:val="a0"/>
    <w:uiPriority w:val="99"/>
    <w:semiHidden/>
    <w:rsid w:val="008C220B"/>
    <w:rPr>
      <w:color w:val="666666"/>
    </w:rPr>
  </w:style>
  <w:style w:type="table" w:styleId="a5">
    <w:name w:val="Table Grid"/>
    <w:basedOn w:val="a1"/>
    <w:uiPriority w:val="39"/>
    <w:rsid w:val="0085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8515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Hyperlink"/>
    <w:basedOn w:val="a0"/>
    <w:uiPriority w:val="99"/>
    <w:unhideWhenUsed/>
    <w:rsid w:val="00C54D5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4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Volume>33</b:Volume>
    <b:BIBTEX_Entry>article</b:BIBTEX_Entry>
    <b:SourceType>JournalArticle</b:SourceType>
    <b:Title>The 2021 Magnonics Roadmap</b:Title>
    <b:Tag>Barman2021</b:Tag>
    <b:Publisher>IOP Publishing</b:Publisher>
    <b:DOI>10.1088/1361-648x/abec1a</b:DOI>
    <b:Author>
      <b:Author>
        <b:NameList>
          <b:Person>
            <b:Last>Barman</b:Last>
            <b:First>Anjan</b:First>
          </b:Person>
          <b:Person>
            <b:Last>Gubbiotti</b:Last>
            <b:First>Gianluca</b:First>
          </b:Person>
          <b:Person>
            <b:Last>Ladak</b:Last>
            <b:First>S.</b:First>
          </b:Person>
          <b:Person>
            <b:Last>Adeyeye</b:Last>
            <b:Middle>O.</b:Middle>
            <b:First>A.</b:First>
          </b:Person>
          <b:Person>
            <b:Last>Krawczyk</b:Last>
            <b:First>M.</b:First>
          </b:Person>
          <b:Person>
            <b:Last>Gräfe</b:Last>
            <b:First>J.</b:First>
          </b:Person>
          <b:Person>
            <b:Last>Adelmann</b:Last>
            <b:First>C.</b:First>
          </b:Person>
          <b:Person>
            <b:Last>Cotofana</b:Last>
            <b:First>S.</b:First>
          </b:Person>
          <b:Person>
            <b:Last>Naeemi</b:Last>
            <b:First>A.</b:First>
          </b:Person>
          <b:Person>
            <b:Last>Vasyuchka</b:Last>
            <b:Middle>I.</b:Middle>
            <b:First>V.</b:First>
          </b:Person>
          <b:Person>
            <b:Last>Hillebrands</b:Last>
            <b:First>B.</b:First>
          </b:Person>
          <b:Person>
            <b:Last>Nikitov</b:Last>
            <b:Middle>A.</b:Middle>
            <b:First>S.</b:First>
          </b:Person>
          <b:Person>
            <b:Last>Yu</b:Last>
            <b:First>H.</b:First>
          </b:Person>
          <b:Person>
            <b:Last>Grundler</b:Last>
            <b:First>D.</b:First>
          </b:Person>
          <b:Person>
            <b:Last>Sadovnikov</b:Last>
            <b:Middle>V.</b:Middle>
            <b:First>A.</b:First>
          </b:Person>
          <b:Person>
            <b:Last>Grachev</b:Last>
            <b:Middle>A.</b:Middle>
            <b:First>A.</b:First>
          </b:Person>
          <b:Person>
            <b:Last>Sheshukova</b:Last>
            <b:Middle>E.</b:Middle>
            <b:First>S.</b:First>
          </b:Person>
          <b:Person>
            <b:Last>Duquesne</b:Last>
            <b:First>J.-Y.</b:First>
          </b:Person>
          <b:Person>
            <b:Last>Marangolo</b:Last>
            <b:First>M.</b:First>
          </b:Person>
          <b:Person>
            <b:Last>Csaba</b:Last>
            <b:First>G.</b:First>
          </b:Person>
          <b:Person>
            <b:Last>Porod</b:Last>
            <b:First>W.</b:First>
          </b:Person>
          <b:Person>
            <b:Last>Demidov</b:Last>
            <b:Middle>E.</b:Middle>
            <b:First>V.</b:First>
          </b:Person>
          <b:Person>
            <b:Last>Urazhdin</b:Last>
            <b:First>S.</b:First>
          </b:Person>
          <b:Person>
            <b:Last>Demokritov</b:Last>
            <b:Middle>O.</b:Middle>
            <b:First>S.</b:First>
          </b:Person>
          <b:Person>
            <b:Last>Albisetti</b:Last>
            <b:First>E.</b:First>
          </b:Person>
          <b:Person>
            <b:Last>Petti</b:Last>
            <b:First>D.</b:First>
          </b:Person>
          <b:Person>
            <b:Last>Bertacco</b:Last>
            <b:First>R.</b:First>
          </b:Person>
          <b:Person>
            <b:Last>Schultheiss</b:Last>
            <b:First>H.</b:First>
          </b:Person>
          <b:Person>
            <b:Last>Kruglyak</b:Last>
            <b:Middle>V.</b:Middle>
            <b:First>V.</b:First>
          </b:Person>
          <b:Person>
            <b:Last>Poimanov</b:Last>
            <b:Middle>D.</b:Middle>
            <b:First>V.</b:First>
          </b:Person>
          <b:Person>
            <b:Last>Sahoo</b:Last>
            <b:First>S.</b:First>
          </b:Person>
          <b:Person>
            <b:Last>Sinha</b:Last>
            <b:First>J.</b:First>
          </b:Person>
          <b:Person>
            <b:Last>Yang</b:Last>
            <b:First>H.</b:First>
          </b:Person>
          <b:Person>
            <b:Last>Münzenberg</b:Last>
            <b:First>M.</b:First>
          </b:Person>
          <b:Person>
            <b:Last>Moriyama</b:Last>
            <b:First>T.</b:First>
          </b:Person>
          <b:Person>
            <b:Last>Mizukami</b:Last>
            <b:First>S.</b:First>
          </b:Person>
          <b:Person>
            <b:Last>Landeros</b:Last>
            <b:First>P.</b:First>
          </b:Person>
          <b:Person>
            <b:Last>Gallardo</b:Last>
            <b:Middle>A.</b:Middle>
            <b:First>R.</b:First>
          </b:Person>
          <b:Person>
            <b:Last>Carlotti</b:Last>
            <b:First>G.</b:First>
          </b:Person>
          <b:Person>
            <b:Last>Kim</b:Last>
            <b:First>J.-V.</b:First>
          </b:Person>
          <b:Person>
            <b:Last>Stamps</b:Last>
            <b:Middle>L.</b:Middle>
            <b:First>R.</b:First>
          </b:Person>
          <b:Person>
            <b:Last>Camley</b:Last>
            <b:Middle>E.</b:Middle>
            <b:First>R.</b:First>
          </b:Person>
          <b:Person>
            <b:Last>Rana</b:Last>
            <b:First>B.</b:First>
          </b:Person>
          <b:Person>
            <b:Last>Otani</b:Last>
            <b:First>Y.</b:First>
          </b:Person>
          <b:Person>
            <b:Last>Yu</b:Last>
            <b:First>W.</b:First>
          </b:Person>
          <b:Person>
            <b:Last>Yu</b:Last>
            <b:First>T.</b:First>
          </b:Person>
          <b:Person>
            <b:Last>Bauer</b:Last>
            <b:Middle>E. W.</b:Middle>
            <b:First>G.</b:First>
          </b:Person>
          <b:Person>
            <b:Last>Back</b:Last>
            <b:First>C.</b:First>
          </b:Person>
          <b:Person>
            <b:Last>Uhrig</b:Last>
            <b:Middle>S.</b:Middle>
            <b:First>G.</b:First>
          </b:Person>
          <b:Person>
            <b:Last>Dobrovolskiy</b:Last>
            <b:Middle>V.</b:Middle>
            <b:First>O.</b:First>
          </b:Person>
          <b:Person>
            <b:Last>Budinska</b:Last>
            <b:First>B.</b:First>
          </b:Person>
          <b:Person>
            <b:Last>Qin</b:Last>
            <b:First>H.</b:First>
          </b:Person>
          <b:Person>
            <b:Last>van Dijken</b:Last>
            <b:First>S.</b:First>
          </b:Person>
          <b:Person>
            <b:Last>Chumak</b:Last>
            <b:Middle>V.</b:Middle>
            <b:First>A.</b:First>
          </b:Person>
          <b:Person>
            <b:Last>Khitun</b:Last>
            <b:First>A.</b:First>
          </b:Person>
          <b:Person>
            <b:Last>Nikonov</b:Last>
            <b:Middle>E.</b:Middle>
            <b:First>D.</b:First>
          </b:Person>
          <b:Person>
            <b:Last>Young</b:Last>
            <b:Middle>A.</b:Middle>
            <b:First>I.</b:First>
          </b:Person>
          <b:Person>
            <b:Last>Zingsem</b:Last>
            <b:Middle>W.</b:Middle>
            <b:First>B.</b:First>
          </b:Person>
          <b:Person>
            <b:Last>Winklhofer</b:Last>
            <b:First>M.</b:First>
          </b:Person>
        </b:NameList>
      </b:Author>
    </b:Author>
    <b:Pages>413001</b:Pages>
    <b:Year>2021</b:Year>
    <b:Month>August</b:Month>
    <b:JournalName>Journal of Physics: Condensed Matter</b:JournalName>
    <b:Number>41</b:Number>
    <b:StandardNumber> ISSN: 1361-648X</b:StandardNumber>
    <b:RefOrder>2</b:RefOrder>
  </b:Source>
  <b:Source>
    <b:Issue>2</b:Issue>
    <b:Volume>129</b:Volume>
    <b:BIBTEX_Entry>article</b:BIBTEX_Entry>
    <b:SourceType>JournalArticle</b:SourceType>
    <b:Title>Bipolar electric field-induced nucleation of magnetic domains with 90 domain walls</b:Title>
    <b:Tag>Antipin2021</b:Tag>
    <b:Publisher>AIP Publishing</b:Publisher>
    <b:DOI>https://doi.org/10.1063/5.0029652</b:DOI>
    <b:Author>
      <b:Author>
        <b:NameList>
          <b:Person>
            <b:Last>Antipin</b:Last>
            <b:Middle>S.</b:Middle>
            <b:First>K.</b:First>
          </b:Person>
          <b:Person>
            <b:Last>Gareev</b:Last>
            <b:Middle>T.</b:Middle>
            <b:First>T.</b:First>
          </b:Person>
          <b:Person>
            <b:Last>Myasnikov</b:Last>
            <b:Middle>V.</b:Middle>
            <b:First>N.</b:First>
          </b:Person>
          <b:Person>
            <b:Last>Nikolaeva</b:Last>
            <b:Middle>P.</b:Middle>
            <b:First>E.</b:First>
          </b:Person>
          <b:Person>
            <b:Last>Pyatakov</b:Last>
            <b:Middle>P.</b:Middle>
            <b:First>A.</b:First>
          </b:Person>
        </b:NameList>
      </b:Author>
    </b:Author>
    <b:Pages>24103</b:Pages>
    <b:Year>2021</b:Year>
    <b:Month>January</b:Month>
    <b:JournalName>Journal of Applied Physics</b:JournalName>
    <b:Number>2</b:Number>
    <b:RefOrder>4</b:RefOrder>
  </b:Source>
  <b:Source>
    <b:Issue>8</b:Issue>
    <b:Volume>18</b:Volume>
    <b:BIBTEX_Entry>article</b:BIBTEX_Entry>
    <b:SourceType>JournalArticle</b:SourceType>
    <b:Title>Large-Voltage Tuning of Dzyaloshinskii–Moriya Interactions: A Route toward Dynamic Control of Skyrmion Chirality</b:Title>
    <b:Tag>Srivastava2018</b:Tag>
    <b:Publisher>American Chemical Society (ACS)</b:Publisher>
    <b:DOI>10.1021/acs.nanolett.8b01502</b:DOI>
    <b:Author>
      <b:Author>
        <b:NameList>
          <b:Person>
            <b:Last>Srivastava</b:Last>
            <b:First>Titiksha</b:First>
          </b:Person>
          <b:Person>
            <b:Last>Schott</b:Last>
            <b:First>Marine</b:First>
          </b:Person>
          <b:Person>
            <b:Last>Juge</b:Last>
            <b:First>Roméo</b:First>
          </b:Person>
          <b:Person>
            <b:Last>Křižáková</b:Last>
            <b:First>Viola</b:First>
          </b:Person>
          <b:Person>
            <b:Last>Belmeguenai</b:Last>
            <b:First>Mohamed</b:First>
          </b:Person>
          <b:Person>
            <b:Last>Roussigné</b:Last>
            <b:First>Yves</b:First>
          </b:Person>
          <b:Person>
            <b:Last>Bernand-Mantel</b:Last>
            <b:First>Anne</b:First>
          </b:Person>
          <b:Person>
            <b:Last>Ranno</b:Last>
            <b:First>Laurent</b:First>
          </b:Person>
          <b:Person>
            <b:Last>Pizzini</b:Last>
            <b:First>Stefania</b:First>
          </b:Person>
          <b:Person>
            <b:Last>Chérif</b:Last>
            <b:First>Salim-Mourad</b:First>
          </b:Person>
          <b:Person>
            <b:Last>Stashkevich</b:Last>
            <b:First>Andrey</b:First>
          </b:Person>
          <b:Person>
            <b:Last>Auffret</b:Last>
            <b:First>Stéphane</b:First>
          </b:Person>
          <b:Person>
            <b:Last>Boulle</b:Last>
            <b:First>Olivier</b:First>
          </b:Person>
          <b:Person>
            <b:Last>Gaudin</b:Last>
            <b:First>Gilles</b:First>
          </b:Person>
          <b:Person>
            <b:Last>Chshiev</b:Last>
            <b:First>Mairbek</b:First>
          </b:Person>
          <b:Person>
            <b:Last>Baraduc</b:Last>
            <b:First>Claire</b:First>
          </b:Person>
          <b:Person>
            <b:Last>Béa</b:Last>
            <b:First>Hélène</b:First>
          </b:Person>
        </b:NameList>
      </b:Author>
    </b:Author>
    <b:Pages>4871–4877</b:Pages>
    <b:Year>2018</b:Year>
    <b:Month>June</b:Month>
    <b:JournalName>Nano Letters</b:JournalName>
    <b:Number>8</b:Number>
    <b:RefOrder>6</b:RefOrder>
  </b:Source>
  <b:Source>
    <b:Issue>3</b:Issue>
    <b:Volume>10</b:Volume>
    <b:BIBTEX_Entry>article</b:BIBTEX_Entry>
    <b:SourceType>JournalArticle</b:SourceType>
    <b:Title>Spintronics: Physical Foundations And Devices</b:Title>
    <b:Tag>Fetisov2018</b:Tag>
    <b:Publisher>Editorial Board of Journal Radioelectronics, Nanosystems, Information Technology RENSIT</b:Publisher>
    <b:URL>http://en.rensit.ru/vypuski/article/261</b:URL>
    <b:DOI>10.17725/rensit.2018.10.343</b:DOI>
    <b:Author>
      <b:Author>
        <b:NameList>
          <b:Person>
            <b:Last>Fetisov</b:Last>
            <b:Middle>V.</b:Middle>
            <b:First>Yuri</b:First>
          </b:Person>
          <b:Person>
            <b:Last>Sigov</b:Last>
            <b:Middle>S.</b:Middle>
            <b:First>Alexander</b:First>
          </b:Person>
        </b:NameList>
      </b:Author>
    </b:Author>
    <b:Pages>343-356</b:Pages>
    <b:Year>2018</b:Year>
    <b:Month>December</b:Month>
    <b:JournalName>Radioelectronics. Nanosystems. Information Technologies</b:JournalName>
    <b:Number>3</b:Number>
    <b:StandardNumber> ISSN: 22183000</b:StandardNumber>
    <b:RefOrder>1</b:RefOrder>
  </b:Source>
  <b:Source>
    <b:Issue>21</b:Issue>
    <b:Volume>324</b:Volume>
    <b:BIBTEX_Entry>article</b:BIBTEX_Entry>
    <b:SourceType>JournalArticle</b:SourceType>
    <b:Title>Electric polarization of magnetic textures: New horizons of micromagnetism</b:Title>
    <b:Tag>Pyatakov2012</b:Tag>
    <b:Publisher>Elsevier BV</b:Publisher>
    <b:DOI>https://doi.org/10.1016/j.jmmm.2012.02.087</b:DOI>
    <b:Author>
      <b:Author>
        <b:NameList>
          <b:Person>
            <b:Last>Pyatakov</b:Last>
            <b:Middle>P.</b:Middle>
            <b:First>A.</b:First>
          </b:Person>
          <b:Person>
            <b:Last>Meshkov</b:Last>
            <b:Middle>A.</b:Middle>
            <b:First>G.</b:First>
          </b:Person>
          <b:Person>
            <b:Last>Zvezdin</b:Last>
            <b:Middle>K.</b:Middle>
            <b:First>A.</b:First>
          </b:Person>
        </b:NameList>
      </b:Author>
    </b:Author>
    <b:Pages>3551–3554</b:Pages>
    <b:Year>2012</b:Year>
    <b:Month>October</b:Month>
    <b:JournalName>Journal of Magnetism and Magnetic Materials</b:JournalName>
    <b:Number>21</b:Number>
    <b:RefOrder>3</b:RefOrder>
  </b:Source>
  <b:Source>
    <b:Volume>12</b:Volume>
    <b:BIBTEX_Entry>article</b:BIBTEX_Entry>
    <b:SourceType>JournalArticle</b:SourceType>
    <b:Title>The Mechanisms of Electric Field-Induced Magnetic Bubble Domain Blowing</b:Title>
    <b:Tag>Kulikova2018</b:Tag>
    <b:Publisher>Wiley</b:Publisher>
    <b:DOI>10.1002/pssr.201800066</b:DOI>
    <b:Author>
      <b:Author>
        <b:NameList>
          <b:Person>
            <b:Last>Kulikova</b:Last>
            <b:Middle>P.</b:Middle>
            <b:First>Daria</b:First>
          </b:Person>
          <b:Person>
            <b:Last>Gareev</b:Last>
            <b:Middle>T.</b:Middle>
            <b:First>Timur</b:First>
          </b:Person>
          <b:Person>
            <b:Last>Nikolaeva</b:Last>
            <b:Middle>P.</b:Middle>
            <b:First>Elena</b:First>
          </b:Person>
          <b:Person>
            <b:Last>Kosykh</b:Last>
            <b:Middle>B.</b:Middle>
            <b:First>Tatyana</b:First>
          </b:Person>
          <b:Person>
            <b:Last>Nikolaev</b:Last>
            <b:Middle>V.</b:Middle>
            <b:First>Alexey</b:First>
          </b:Person>
          <b:Person>
            <b:Last>Pyatakova</b:Last>
            <b:Middle>A.</b:Middle>
            <b:First>Zoya</b:First>
          </b:Person>
          <b:Person>
            <b:Last>Zvezdin</b:Last>
            <b:Middle>K.</b:Middle>
            <b:First>Anatoly</b:First>
          </b:Person>
          <b:Person>
            <b:Last>Pyatakov</b:Last>
            <b:Middle>P.</b:Middle>
            <b:First>Alexander</b:First>
          </b:Person>
        </b:NameList>
      </b:Author>
    </b:Author>
    <b:Pages>1800066</b:Pages>
    <b:Year>2018</b:Year>
    <b:Month>April</b:Month>
    <b:JournalName>physica status solidi (RRL) - Rapid Research Letters</b:JournalName>
    <b:Number>6</b:Number>
    <b:StandardNumber> ISSN: 1862-6254</b:StandardNumber>
    <b:RefOrder>5</b:RefOrder>
  </b:Source>
</b:Sources>
</file>

<file path=customXml/itemProps1.xml><?xml version="1.0" encoding="utf-8"?>
<ds:datastoreItem xmlns:ds="http://schemas.openxmlformats.org/officeDocument/2006/customXml" ds:itemID="{04F9E9BA-10E5-4889-AEBD-4D68FE15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Мясников</dc:creator>
  <cp:keywords/>
  <dc:description/>
  <cp:lastModifiedBy>Никита Мясников</cp:lastModifiedBy>
  <cp:revision>48</cp:revision>
  <cp:lastPrinted>2024-02-16T16:45:00Z</cp:lastPrinted>
  <dcterms:created xsi:type="dcterms:W3CDTF">2024-02-16T10:38:00Z</dcterms:created>
  <dcterms:modified xsi:type="dcterms:W3CDTF">2024-02-16T16:47:00Z</dcterms:modified>
</cp:coreProperties>
</file>