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Текстовый блок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Магнитные свойства твердых растворов системы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Zn</w:t>
      </w:r>
      <w:r>
        <w:rPr>
          <w:rFonts w:ascii="Times New Roman" w:hAnsi="Times New Roman"/>
          <w:b w:val="1"/>
          <w:bCs w:val="1"/>
          <w:sz w:val="24"/>
          <w:szCs w:val="24"/>
          <w:vertAlign w:val="subscript"/>
          <w:rtl w:val="0"/>
          <w:lang w:val="ru-RU"/>
        </w:rPr>
        <w:t>x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Ni</w:t>
      </w:r>
      <w:r>
        <w:rPr>
          <w:rFonts w:ascii="Times New Roman" w:hAnsi="Times New Roman"/>
          <w:b w:val="1"/>
          <w:bCs w:val="1"/>
          <w:sz w:val="24"/>
          <w:szCs w:val="24"/>
          <w:vertAlign w:val="subscript"/>
          <w:rtl w:val="0"/>
          <w:lang w:val="ru-RU"/>
        </w:rPr>
        <w:t>y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Co</w:t>
      </w:r>
      <w:r>
        <w:rPr>
          <w:rFonts w:ascii="Times New Roman" w:hAnsi="Times New Roman"/>
          <w:b w:val="1"/>
          <w:bCs w:val="1"/>
          <w:sz w:val="24"/>
          <w:szCs w:val="24"/>
          <w:vertAlign w:val="subscript"/>
          <w:rtl w:val="0"/>
          <w:lang w:val="ru-RU"/>
        </w:rPr>
        <w:t>1-x-y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Fe</w:t>
      </w:r>
      <w:r>
        <w:rPr>
          <w:rFonts w:ascii="Times New Roman" w:hAnsi="Times New Roman"/>
          <w:b w:val="1"/>
          <w:bCs w:val="1"/>
          <w:sz w:val="24"/>
          <w:szCs w:val="24"/>
          <w:vertAlign w:val="subscript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O</w:t>
      </w:r>
      <w:r>
        <w:rPr>
          <w:rFonts w:ascii="Times New Roman" w:hAnsi="Times New Roman"/>
          <w:b w:val="1"/>
          <w:bCs w:val="1"/>
          <w:sz w:val="24"/>
          <w:szCs w:val="24"/>
          <w:vertAlign w:val="subscript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(x, y = 0-1,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 шагом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0,1)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 структурой шпинели</w:t>
      </w: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Шипкова Елизавета Дмитриевна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Шерстюк Дарья Петровна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Живулин Владимир Евгеньевич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vertAlign w:val="superscript"/>
          <w:rtl w:val="0"/>
          <w:lang w:val="ru-RU"/>
        </w:rPr>
        <w:t>2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Винник Денис Александрович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  <w:lang w:val="ru-RU"/>
        </w:rPr>
        <w:t>3,2,4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физический факультет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Южно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Уральский государственный университет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национальный исследовательский университет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Московский физико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технический институт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национальный исследовательский университет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Петербургский государственный университет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u w:val="single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color w:val="0432ff"/>
          <w:sz w:val="24"/>
          <w:szCs w:val="24"/>
          <w:u w:val="single" w:color="0432ff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color w:val="0432ff"/>
          <w:sz w:val="24"/>
          <w:szCs w:val="24"/>
          <w:u w:val="single" w:color="0432ff"/>
          <w:lang w:val="en-US"/>
        </w:rPr>
        <w:instrText xml:space="preserve"> HYPERLINK "mailto:shipkova_liza@mail.ru"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color w:val="0432ff"/>
          <w:sz w:val="24"/>
          <w:szCs w:val="24"/>
          <w:u w:val="single" w:color="0432ff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en-US"/>
        </w:rPr>
        <w:t>shipkova</w:t>
      </w:r>
      <w:r>
        <w:rPr>
          <w:rStyle w:val="Нет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ru-RU"/>
        </w:rPr>
        <w:t>_</w:t>
      </w:r>
      <w:r>
        <w:rPr>
          <w:rStyle w:val="Hyperlink.0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en-US"/>
        </w:rPr>
        <w:t>liza</w:t>
      </w:r>
      <w:r>
        <w:rPr>
          <w:rStyle w:val="Нет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ru-RU"/>
        </w:rPr>
        <w:t>@</w:t>
      </w:r>
      <w:r>
        <w:rPr>
          <w:rStyle w:val="Hyperlink.0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en-US"/>
        </w:rPr>
        <w:t>mail</w:t>
      </w:r>
      <w:r>
        <w:rPr>
          <w:rStyle w:val="Нет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ru-RU"/>
        </w:rPr>
        <w:t>.</w:t>
      </w:r>
      <w:r>
        <w:rPr>
          <w:rStyle w:val="Hyperlink.0"/>
          <w:rFonts w:ascii="Times New Roman" w:hAnsi="Times New Roman"/>
          <w:i w:val="1"/>
          <w:iCs w:val="1"/>
          <w:color w:val="0432ff"/>
          <w:sz w:val="24"/>
          <w:szCs w:val="24"/>
          <w:u w:val="single" w:color="0432ff"/>
          <w:rtl w:val="0"/>
          <w:lang w:val="en-US"/>
        </w:rPr>
        <w:t>ru</w:t>
      </w:r>
      <w:r>
        <w:rPr/>
        <w:fldChar w:fldCharType="end" w:fldLock="0"/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>Среди новых магнитных материалов особый интерес представляют 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магнитные свойства которых можно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регулировать путем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замещения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катионов исходной матрицы на легирующие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Такой подход позволяет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варьировать магнитные свойства в широких пределах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 магнитнотвердого состояния до магнитномягкого и наоборот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значения температуры Кюри могут изменяться в интервале более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600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°С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рис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бизамещенные кристаллические структуры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опциональное использование малого шага изменения концентрации легирующего компонента обеспечивают возможность тонкого настаивания магнитных свойств под требования конкретных приложений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[1]. 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В представленной работе были изучены магнитные свойства синтезированных ферритов со структурой шпинели системы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Zn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x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Ni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y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Co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ru-RU"/>
        </w:rPr>
        <w:t>1-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x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ru-RU"/>
        </w:rPr>
        <w:t>-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y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Fe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ru-RU"/>
        </w:rPr>
        <w:t>2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O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ru-RU"/>
        </w:rPr>
        <w:t>4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x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y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=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0-1,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 шагом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0,1). </w:t>
      </w:r>
      <w:r>
        <w:rPr>
          <w:rStyle w:val="Нет"/>
          <w:rFonts w:ascii="Times New Roman" w:cs="Times New Roman" w:hAnsi="Times New Roman" w:eastAsia="Times New Roman"/>
          <w:sz w:val="24"/>
          <w:szCs w:val="24"/>
          <w:lang w:val="ru-RU"/>
        </w:rPr>
        <w:tab/>
        <w:tab/>
        <w:tab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Полученные результаты представлены в виде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зависимости температуры Кюри от</w:t>
      </w:r>
      <w:r>
        <w:rPr>
          <w:rStyle w:val="Нет"/>
          <w:rFonts w:ascii="Times New Roman" w:cs="Times New Roman" w:hAnsi="Times New Roman" w:eastAsia="Times New Roman"/>
          <w:sz w:val="24"/>
          <w:szCs w:val="24"/>
          <w:lang w:val="ru-RU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383866</wp:posOffset>
                </wp:positionH>
                <wp:positionV relativeFrom="line">
                  <wp:posOffset>3966639</wp:posOffset>
                </wp:positionV>
                <wp:extent cx="5335887" cy="539212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887" cy="5392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Рис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. 1. </w:t>
                            </w: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График зависимости температуры Кюри от концентрации 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Zn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Ni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ru-RU"/>
                              </w:rPr>
                              <w:t>1-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Fe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rtl w:val="0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 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 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=</w:t>
                            </w: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 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0-1, </w:t>
                            </w: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с шагом </w:t>
                            </w:r>
                            <w:r>
                              <w:rPr>
                                <w:rStyle w:val="Нет"/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0,1)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0.2pt;margin-top:312.3pt;width:420.1pt;height:42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>Рис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 xml:space="preserve">. 1. </w:t>
                      </w: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 xml:space="preserve">График зависимости температуры Кюри от концентрации 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Zn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Ni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en-US"/>
                        </w:rPr>
                        <w:t>y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Co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ru-RU"/>
                        </w:rPr>
                        <w:t>1-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ru-RU"/>
                        </w:rPr>
                        <w:t>-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en-US"/>
                        </w:rPr>
                        <w:t>y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Fe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ru-RU"/>
                        </w:rPr>
                        <w:t>2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O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vertAlign w:val="subscript"/>
                          <w:rtl w:val="0"/>
                          <w:lang w:val="ru-RU"/>
                        </w:rPr>
                        <w:t>4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 xml:space="preserve"> (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>,</w:t>
                      </w: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> 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en-US"/>
                        </w:rPr>
                        <w:t>y</w:t>
                      </w: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> 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>=</w:t>
                      </w: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> 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 xml:space="preserve">0-1, </w:t>
                      </w:r>
                      <w:r>
                        <w:rPr>
                          <w:rStyle w:val="Нет"/>
                          <w:rFonts w:ascii="Times New Roman" w:hAnsi="Times New Roman" w:hint="default"/>
                          <w:sz w:val="24"/>
                          <w:szCs w:val="24"/>
                          <w:rtl w:val="0"/>
                          <w:lang w:val="ru-RU"/>
                        </w:rPr>
                        <w:t xml:space="preserve">с шагом </w:t>
                      </w:r>
                      <w:r>
                        <w:rPr>
                          <w:rStyle w:val="Нет"/>
                          <w:rFonts w:ascii="Times New Roman" w:hAnsi="Times New Roman"/>
                          <w:sz w:val="24"/>
                          <w:szCs w:val="24"/>
                          <w:rtl w:val="0"/>
                          <w:lang w:val="ru-RU"/>
                        </w:rPr>
                        <w:t xml:space="preserve">0,1) 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rStyle w:val="Нет"/>
          <w:rFonts w:ascii="Times New Roman" w:cs="Times New Roman" w:hAnsi="Times New Roman" w:eastAsia="Times New Roman"/>
          <w:sz w:val="24"/>
          <w:szCs w:val="24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686434</wp:posOffset>
            </wp:positionH>
            <wp:positionV relativeFrom="line">
              <wp:posOffset>243237</wp:posOffset>
            </wp:positionV>
            <wp:extent cx="4730750" cy="3794391"/>
            <wp:effectExtent l="0" t="0" r="0" b="0"/>
            <wp:wrapTopAndBottom distT="0" distB="0"/>
            <wp:docPr id="1073741826" name="officeArt object" descr="Изображение выглядит как текст, снимок экрана, программное обеспечение, дисплей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Изображение выглядит как текст, снимок экрана, программное обеспечение, дисплей&#10;&#10;Автоматически созданное описание" descr="Изображение выглядит как текст, снимок экрана, программное обеспечение, дисплей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6141" t="11278" r="10093" b="14700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7943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концентрации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Синтезированные ферриты представляют собой порошки со структурой шпинели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Образцы были получены методом твердофазного синтеза в Лаборатории роста кристаллов Южно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Уральского государственного университета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Там же проведена структурная характеризация образцов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Измерения магнитных свойств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проведены на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вибрационном магнитометре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VSM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серии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LakeShore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7400.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Были проанализированы концентрационные зависимости намагниченности насыщения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M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s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 коэрцитивной силы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c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от химического состава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Изменения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M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s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 увеличением доли замещающих атомов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вероятно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связаны с перераспределением катионов между тетраэдрическими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 октаэдрическими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B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позициями шпинели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Зависимости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H</w:t>
      </w:r>
      <w:r>
        <w:rPr>
          <w:rStyle w:val="Нет"/>
          <w:rFonts w:ascii="Times New Roman" w:hAnsi="Times New Roman"/>
          <w:sz w:val="24"/>
          <w:szCs w:val="24"/>
          <w:vertAlign w:val="subscript"/>
          <w:rtl w:val="0"/>
          <w:lang w:val="en-US"/>
        </w:rPr>
        <w:t>c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согласуются с поведением магнитной анизотропии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Значения температуры Кюри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рис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были определены путем анализа температурной зависимости магнитной проницаемости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Измерения производили путем измерения ЭДС самоиндукции катушки с сердечником на частоте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МГц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Характер зависимости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Tc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от состава можно объяснить изменением обменного межрешеточного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AB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взаимодействия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color w:val="0432ff"/>
          <w:sz w:val="24"/>
          <w:szCs w:val="24"/>
          <w:u w:color="0432ff"/>
          <w:lang w:val="en-US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[1] D.A. Vinnik, D.P. Sherstyuk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е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t all., Impact of the Zn-Co content on structural and magnetic characteristics of the Ni spinel ferrites, J. Ceramics International, 2022, </w:t>
      </w:r>
      <w:r>
        <w:rPr>
          <w:rStyle w:val="Hyperlink.1"/>
          <w:rFonts w:ascii="Times New Roman" w:cs="Times New Roman" w:hAnsi="Times New Roman" w:eastAsia="Times New Roman"/>
          <w:color w:val="0432ff"/>
          <w:sz w:val="24"/>
          <w:szCs w:val="24"/>
          <w:u w:val="single" w:color="0432ff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432ff"/>
          <w:sz w:val="24"/>
          <w:szCs w:val="24"/>
          <w:u w:val="single" w:color="0432ff"/>
          <w:lang w:val="en-US"/>
        </w:rPr>
        <w:instrText xml:space="preserve"> HYPERLINK "https://doi.org/10.1016/j.ceramint.2022.03.070"</w:instrText>
      </w:r>
      <w:r>
        <w:rPr>
          <w:rStyle w:val="Hyperlink.1"/>
          <w:rFonts w:ascii="Times New Roman" w:cs="Times New Roman" w:hAnsi="Times New Roman" w:eastAsia="Times New Roman"/>
          <w:color w:val="0432ff"/>
          <w:sz w:val="24"/>
          <w:szCs w:val="24"/>
          <w:u w:val="single" w:color="0432ff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432ff"/>
          <w:sz w:val="24"/>
          <w:szCs w:val="24"/>
          <w:u w:val="single" w:color="0432ff"/>
          <w:rtl w:val="0"/>
          <w:lang w:val="en-US"/>
        </w:rPr>
        <w:t>https://doi.org/10.1016/j.ceramint.2022.03.070</w:t>
      </w:r>
      <w:r>
        <w:rPr>
          <w:lang w:val="en-US"/>
        </w:rPr>
        <w:fldChar w:fldCharType="end" w:fldLock="0"/>
      </w:r>
      <w:r>
        <w:rPr>
          <w:rStyle w:val="Нет"/>
          <w:rFonts w:ascii="Times New Roman" w:hAnsi="Times New Roman"/>
          <w:color w:val="0432ff"/>
          <w:sz w:val="24"/>
          <w:szCs w:val="24"/>
          <w:u w:color="0432ff"/>
          <w:rtl w:val="0"/>
          <w:lang w:val="en-US"/>
        </w:rPr>
        <w:t xml:space="preserve"> </w:t>
      </w: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color w:val="0432ff"/>
          <w:sz w:val="24"/>
          <w:szCs w:val="24"/>
          <w:u w:color="0432ff"/>
          <w:lang w:val="en-US"/>
        </w:rPr>
      </w:pPr>
    </w:p>
    <w:p>
      <w:pPr>
        <w:pStyle w:val="Текстовый блок A"/>
        <w:jc w:val="both"/>
        <w:rPr>
          <w:rStyle w:val="Нет"/>
          <w:rFonts w:ascii="Times New Roman" w:cs="Times New Roman" w:hAnsi="Times New Roman" w:eastAsia="Times New Roman"/>
          <w:color w:val="0432ff"/>
          <w:sz w:val="24"/>
          <w:szCs w:val="24"/>
          <w:u w:color="0432ff"/>
          <w:lang w:val="en-US"/>
        </w:rPr>
      </w:pPr>
    </w:p>
    <w:p>
      <w:pPr>
        <w:pStyle w:val="Normal.0"/>
        <w:ind w:firstLine="709"/>
      </w:pPr>
      <w:r>
        <w:rPr>
          <w:rStyle w:val="Нет"/>
          <w:rtl w:val="0"/>
          <w:lang w:val="ru-RU"/>
        </w:rPr>
        <w:t xml:space="preserve">Работа выполнена при частичной поддержке гранта СПбГУ </w:t>
      </w:r>
      <w:r>
        <w:rPr>
          <w:rStyle w:val="Нет"/>
          <w:rtl w:val="0"/>
          <w:lang w:val="ru-RU"/>
        </w:rPr>
        <w:t>10375137.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color w:val="0432ff"/>
      <w:sz w:val="24"/>
      <w:szCs w:val="24"/>
      <w:u w:val="single" w:color="0432ff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ru-RU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color w:val="0432ff"/>
      <w:sz w:val="24"/>
      <w:szCs w:val="24"/>
      <w:u w:val="single" w:color="0432ff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