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0BC1" w14:textId="77777777" w:rsidR="00813C9E" w:rsidRPr="00D2475A" w:rsidRDefault="00D2475A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Моделирование поведения сплава </w:t>
      </w:r>
      <w:proofErr w:type="gramStart"/>
      <w:r w:rsidR="00794FD8">
        <w:rPr>
          <w:b/>
          <w:bCs/>
          <w:color w:val="000000"/>
          <w:shd w:val="clear" w:color="auto" w:fill="FFFFFF"/>
          <w:lang w:val="en-US"/>
        </w:rPr>
        <w:t>La</w:t>
      </w:r>
      <w:r w:rsidR="00794FD8" w:rsidRPr="00794FD8">
        <w:rPr>
          <w:b/>
          <w:bCs/>
          <w:color w:val="000000"/>
          <w:shd w:val="clear" w:color="auto" w:fill="FFFFFF"/>
        </w:rPr>
        <w:t>(</w:t>
      </w:r>
      <w:proofErr w:type="gramEnd"/>
      <w:r w:rsidR="00794FD8">
        <w:rPr>
          <w:b/>
          <w:bCs/>
          <w:color w:val="000000"/>
          <w:shd w:val="clear" w:color="auto" w:fill="FFFFFF"/>
          <w:lang w:val="en-US"/>
        </w:rPr>
        <w:t>Fe</w:t>
      </w:r>
      <w:r w:rsidR="00794FD8" w:rsidRPr="00794FD8">
        <w:rPr>
          <w:b/>
          <w:bCs/>
          <w:color w:val="000000"/>
          <w:shd w:val="clear" w:color="auto" w:fill="FFFFFF"/>
        </w:rPr>
        <w:t>,</w:t>
      </w:r>
      <w:r w:rsidR="00794FD8">
        <w:rPr>
          <w:b/>
          <w:bCs/>
          <w:color w:val="000000"/>
          <w:shd w:val="clear" w:color="auto" w:fill="FFFFFF"/>
          <w:lang w:val="en-US"/>
        </w:rPr>
        <w:t>Si</w:t>
      </w:r>
      <w:r w:rsidR="00794FD8" w:rsidRPr="00794FD8">
        <w:rPr>
          <w:b/>
          <w:bCs/>
          <w:color w:val="000000"/>
          <w:shd w:val="clear" w:color="auto" w:fill="FFFFFF"/>
        </w:rPr>
        <w:t>)</w:t>
      </w:r>
      <w:r w:rsidR="00794FD8" w:rsidRPr="00794FD8">
        <w:rPr>
          <w:b/>
          <w:bCs/>
          <w:color w:val="000000"/>
          <w:shd w:val="clear" w:color="auto" w:fill="FFFFFF"/>
          <w:vertAlign w:val="subscript"/>
        </w:rPr>
        <w:t>13</w:t>
      </w:r>
      <w:r>
        <w:rPr>
          <w:b/>
          <w:bCs/>
          <w:color w:val="000000"/>
          <w:shd w:val="clear" w:color="auto" w:fill="FFFFFF"/>
          <w:vertAlign w:val="subscript"/>
        </w:rPr>
        <w:t xml:space="preserve"> </w:t>
      </w:r>
      <w:r>
        <w:rPr>
          <w:b/>
          <w:bCs/>
          <w:color w:val="000000"/>
          <w:shd w:val="clear" w:color="auto" w:fill="FFFFFF"/>
        </w:rPr>
        <w:t>при воздействии нескольких обобщённых сил: термодинамические и кинетические эффекты</w:t>
      </w:r>
    </w:p>
    <w:p w14:paraId="5EE1B644" w14:textId="77777777" w:rsidR="003407FB" w:rsidRPr="00794FD8" w:rsidRDefault="003407FB" w:rsidP="00011E41">
      <w:pPr>
        <w:ind w:firstLine="426"/>
        <w:jc w:val="center"/>
        <w:rPr>
          <w:b/>
          <w:bCs/>
          <w:color w:val="000000"/>
          <w:shd w:val="clear" w:color="auto" w:fill="FFFFFF"/>
          <w:vertAlign w:val="subscript"/>
        </w:rPr>
      </w:pPr>
    </w:p>
    <w:p w14:paraId="141A2FAA" w14:textId="77777777" w:rsidR="00BC53DF" w:rsidRPr="00DD7095" w:rsidRDefault="00DD7095" w:rsidP="00BC53DF">
      <w:pPr>
        <w:ind w:firstLine="426"/>
        <w:jc w:val="center"/>
        <w:rPr>
          <w:b/>
          <w:i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Макарьин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b/>
          <w:bCs/>
          <w:color w:val="000000"/>
          <w:shd w:val="clear" w:color="auto" w:fill="FFFFFF"/>
        </w:rPr>
        <w:t>Р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А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а</w:t>
      </w:r>
      <w:proofErr w:type="spellEnd"/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8B0CF1">
        <w:rPr>
          <w:b/>
          <w:i/>
        </w:rPr>
        <w:t xml:space="preserve"> </w:t>
      </w:r>
      <w:r>
        <w:rPr>
          <w:rStyle w:val="a3"/>
          <w:b/>
          <w:bCs/>
          <w:i w:val="0"/>
          <w:color w:val="000000"/>
          <w:shd w:val="clear" w:color="auto" w:fill="FFFFFF"/>
        </w:rPr>
        <w:t xml:space="preserve">Железный </w:t>
      </w:r>
      <w:proofErr w:type="spellStart"/>
      <w:proofErr w:type="gramStart"/>
      <w:r>
        <w:rPr>
          <w:rStyle w:val="a3"/>
          <w:b/>
          <w:bCs/>
          <w:i w:val="0"/>
          <w:color w:val="000000"/>
          <w:shd w:val="clear" w:color="auto" w:fill="FFFFFF"/>
        </w:rPr>
        <w:t>М.В.</w:t>
      </w:r>
      <w:r w:rsidR="00D2475A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а,б</w:t>
      </w:r>
      <w:proofErr w:type="spellEnd"/>
      <w:proofErr w:type="gramEnd"/>
    </w:p>
    <w:p w14:paraId="4BA341E2" w14:textId="77777777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DD7095">
        <w:rPr>
          <w:rStyle w:val="a3"/>
          <w:color w:val="000000"/>
          <w:shd w:val="clear" w:color="auto" w:fill="FFFFFF"/>
        </w:rPr>
        <w:t>аспирант</w:t>
      </w:r>
      <w:r w:rsidRPr="00BC53DF">
        <w:rPr>
          <w:rStyle w:val="a3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="00453EF9" w:rsidRPr="00453EF9">
        <w:rPr>
          <w:i/>
          <w:color w:val="000000"/>
          <w:shd w:val="clear" w:color="auto" w:fill="FFFFFF"/>
          <w:vertAlign w:val="superscript"/>
        </w:rPr>
        <w:t>2</w:t>
      </w:r>
      <w:r w:rsidR="00DD7095">
        <w:rPr>
          <w:i/>
          <w:color w:val="000000"/>
          <w:shd w:val="clear" w:color="auto" w:fill="FFFFFF"/>
        </w:rPr>
        <w:t>научный сотрудник</w:t>
      </w:r>
    </w:p>
    <w:p w14:paraId="51234C9F" w14:textId="77777777" w:rsidR="00901D74" w:rsidRPr="00DD7095" w:rsidRDefault="00DD7095" w:rsidP="00453EF9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proofErr w:type="spellStart"/>
      <w:r>
        <w:rPr>
          <w:i/>
          <w:iCs/>
          <w:color w:val="000000"/>
          <w:vertAlign w:val="superscript"/>
        </w:rPr>
        <w:t>а</w:t>
      </w:r>
      <w:r w:rsidR="00901D74" w:rsidRPr="00DD7095">
        <w:rPr>
          <w:i/>
          <w:iCs/>
          <w:color w:val="000000"/>
        </w:rPr>
        <w:t>Московский</w:t>
      </w:r>
      <w:proofErr w:type="spellEnd"/>
      <w:r w:rsidR="00901D74" w:rsidRPr="00DD7095">
        <w:rPr>
          <w:i/>
          <w:iCs/>
          <w:color w:val="000000"/>
        </w:rPr>
        <w:t xml:space="preserve"> государственный университет имени М.В. Ломоносова,</w:t>
      </w:r>
    </w:p>
    <w:p w14:paraId="523F6194" w14:textId="77777777" w:rsidR="00901D74" w:rsidRPr="00DD7095" w:rsidRDefault="00901D74" w:rsidP="00901D74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DD7095">
        <w:rPr>
          <w:i/>
          <w:iCs/>
          <w:color w:val="000000"/>
        </w:rPr>
        <w:t>физический факультет, Москва, Россия</w:t>
      </w:r>
    </w:p>
    <w:p w14:paraId="648F413B" w14:textId="77777777" w:rsidR="00901D74" w:rsidRPr="00DD7095" w:rsidRDefault="00DD7095" w:rsidP="00901D74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proofErr w:type="spellStart"/>
      <w:r>
        <w:rPr>
          <w:i/>
          <w:iCs/>
          <w:color w:val="000000"/>
          <w:vertAlign w:val="superscript"/>
        </w:rPr>
        <w:t>б</w:t>
      </w:r>
      <w:r w:rsidR="00901D74" w:rsidRPr="00DD7095">
        <w:rPr>
          <w:i/>
          <w:iCs/>
          <w:color w:val="000000"/>
        </w:rPr>
        <w:t>Национальный</w:t>
      </w:r>
      <w:proofErr w:type="spellEnd"/>
      <w:r w:rsidR="00901D74" w:rsidRPr="00DD7095">
        <w:rPr>
          <w:i/>
          <w:iCs/>
          <w:color w:val="000000"/>
        </w:rPr>
        <w:t xml:space="preserve"> исследовательский технологический Университет «</w:t>
      </w:r>
      <w:proofErr w:type="spellStart"/>
      <w:r w:rsidR="00901D74" w:rsidRPr="00DD7095">
        <w:rPr>
          <w:i/>
          <w:iCs/>
          <w:color w:val="000000"/>
        </w:rPr>
        <w:t>МИСиС</w:t>
      </w:r>
      <w:proofErr w:type="spellEnd"/>
      <w:r w:rsidR="00901D74" w:rsidRPr="00DD7095">
        <w:rPr>
          <w:i/>
          <w:iCs/>
          <w:color w:val="000000"/>
        </w:rPr>
        <w:t>»,</w:t>
      </w:r>
    </w:p>
    <w:p w14:paraId="66C665CC" w14:textId="77777777" w:rsidR="00DD7095" w:rsidRPr="00D2475A" w:rsidRDefault="00901D74" w:rsidP="00D2475A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DD7095">
        <w:rPr>
          <w:i/>
          <w:iCs/>
          <w:color w:val="000000"/>
        </w:rPr>
        <w:t>Москва, Россия</w:t>
      </w:r>
    </w:p>
    <w:p w14:paraId="643C3C7E" w14:textId="77777777" w:rsidR="00901D74" w:rsidRPr="004C488B" w:rsidRDefault="00901D74" w:rsidP="00901D74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u w:val="single"/>
        </w:rPr>
      </w:pPr>
      <w:r w:rsidRPr="00DD7095">
        <w:rPr>
          <w:i/>
          <w:iCs/>
          <w:color w:val="000000"/>
          <w:lang w:val="en-US"/>
        </w:rPr>
        <w:t>E</w:t>
      </w:r>
      <w:r w:rsidRPr="004C488B">
        <w:rPr>
          <w:i/>
          <w:iCs/>
          <w:color w:val="000000"/>
        </w:rPr>
        <w:t>-</w:t>
      </w:r>
      <w:r w:rsidRPr="00DD7095">
        <w:rPr>
          <w:i/>
          <w:iCs/>
          <w:color w:val="000000"/>
          <w:lang w:val="en-US"/>
        </w:rPr>
        <w:t>mail</w:t>
      </w:r>
      <w:r w:rsidRPr="004C488B">
        <w:rPr>
          <w:i/>
          <w:iCs/>
          <w:color w:val="000000"/>
        </w:rPr>
        <w:t xml:space="preserve">: </w:t>
      </w:r>
      <w:proofErr w:type="spellStart"/>
      <w:r w:rsidR="00DD7095" w:rsidRPr="00DD7095">
        <w:rPr>
          <w:i/>
          <w:iCs/>
          <w:color w:val="000000"/>
          <w:lang w:val="en-US"/>
        </w:rPr>
        <w:t>makarin</w:t>
      </w:r>
      <w:proofErr w:type="spellEnd"/>
      <w:r w:rsidR="00DD7095" w:rsidRPr="004C488B">
        <w:rPr>
          <w:i/>
          <w:iCs/>
          <w:color w:val="000000"/>
        </w:rPr>
        <w:t>.</w:t>
      </w:r>
      <w:r w:rsidR="00DD7095" w:rsidRPr="00DD7095">
        <w:rPr>
          <w:i/>
          <w:iCs/>
          <w:color w:val="000000"/>
          <w:lang w:val="en-US"/>
        </w:rPr>
        <w:t>ra</w:t>
      </w:r>
      <w:r w:rsidR="00DD7095" w:rsidRPr="004C488B">
        <w:rPr>
          <w:i/>
          <w:iCs/>
          <w:color w:val="000000"/>
        </w:rPr>
        <w:t>16@</w:t>
      </w:r>
      <w:r w:rsidR="00DD7095" w:rsidRPr="00DD7095">
        <w:rPr>
          <w:i/>
          <w:iCs/>
          <w:color w:val="000000"/>
          <w:lang w:val="en-US"/>
        </w:rPr>
        <w:t>physics</w:t>
      </w:r>
      <w:r w:rsidR="00DD7095" w:rsidRPr="004C488B">
        <w:rPr>
          <w:i/>
          <w:iCs/>
          <w:color w:val="000000"/>
        </w:rPr>
        <w:t>.</w:t>
      </w:r>
      <w:proofErr w:type="spellStart"/>
      <w:r w:rsidR="00DD7095" w:rsidRPr="00DD7095">
        <w:rPr>
          <w:i/>
          <w:iCs/>
          <w:color w:val="000000"/>
          <w:lang w:val="en-US"/>
        </w:rPr>
        <w:t>msu</w:t>
      </w:r>
      <w:proofErr w:type="spellEnd"/>
      <w:r w:rsidR="00DD7095" w:rsidRPr="004C488B">
        <w:rPr>
          <w:i/>
          <w:iCs/>
          <w:color w:val="000000"/>
        </w:rPr>
        <w:t>.</w:t>
      </w:r>
      <w:proofErr w:type="spellStart"/>
      <w:r w:rsidR="00DD7095" w:rsidRPr="00DD7095">
        <w:rPr>
          <w:i/>
          <w:iCs/>
          <w:color w:val="000000"/>
          <w:lang w:val="en-US"/>
        </w:rPr>
        <w:t>ru</w:t>
      </w:r>
      <w:proofErr w:type="spellEnd"/>
    </w:p>
    <w:p w14:paraId="75E99180" w14:textId="77777777" w:rsidR="00DD7095" w:rsidRPr="004C488B" w:rsidRDefault="00DD7095" w:rsidP="00901D74">
      <w:pPr>
        <w:pStyle w:val="a7"/>
        <w:shd w:val="clear" w:color="auto" w:fill="FFFFFF"/>
        <w:spacing w:before="0" w:beforeAutospacing="0" w:after="0" w:afterAutospacing="0"/>
        <w:jc w:val="center"/>
      </w:pPr>
    </w:p>
    <w:p w14:paraId="1C7FD2A3" w14:textId="77777777" w:rsidR="0038772F" w:rsidRDefault="0038772F" w:rsidP="0038772F">
      <w:pPr>
        <w:ind w:firstLine="851"/>
        <w:jc w:val="both"/>
        <w:rPr>
          <w:lang w:eastAsia="zh-CN"/>
        </w:rPr>
      </w:pPr>
      <w:r>
        <w:rPr>
          <w:lang w:eastAsia="zh-CN"/>
        </w:rPr>
        <w:t xml:space="preserve">В последние десятилетия было предложено множество альтернативных систем охлаждения, включая </w:t>
      </w:r>
      <w:proofErr w:type="spellStart"/>
      <w:r>
        <w:rPr>
          <w:lang w:eastAsia="zh-CN"/>
        </w:rPr>
        <w:t>магнитокалорические</w:t>
      </w:r>
      <w:proofErr w:type="spellEnd"/>
      <w:r>
        <w:rPr>
          <w:lang w:eastAsia="zh-CN"/>
        </w:rPr>
        <w:t xml:space="preserve"> холодильники. Один из подходов, направленных на точное управление температурой Кюри и повышение эффективности цикла, заключается в использовании </w:t>
      </w:r>
      <w:proofErr w:type="spellStart"/>
      <w:r>
        <w:rPr>
          <w:lang w:eastAsia="zh-CN"/>
        </w:rPr>
        <w:t>мультистимульных</w:t>
      </w:r>
      <w:proofErr w:type="spellEnd"/>
      <w:r>
        <w:rPr>
          <w:lang w:eastAsia="zh-CN"/>
        </w:rPr>
        <w:t xml:space="preserve"> материалов. Это подразумевает использование нескольких обобщенных сил вблизи </w:t>
      </w:r>
      <w:proofErr w:type="spellStart"/>
      <w:r>
        <w:rPr>
          <w:lang w:eastAsia="zh-CN"/>
        </w:rPr>
        <w:t>магнитоструктурного</w:t>
      </w:r>
      <w:proofErr w:type="spellEnd"/>
      <w:r>
        <w:rPr>
          <w:lang w:eastAsia="zh-CN"/>
        </w:rPr>
        <w:t xml:space="preserve"> фазового перехода.</w:t>
      </w:r>
    </w:p>
    <w:p w14:paraId="6EC089DC" w14:textId="77777777" w:rsidR="0038772F" w:rsidRDefault="0038772F" w:rsidP="0038772F">
      <w:pPr>
        <w:ind w:firstLine="851"/>
        <w:jc w:val="both"/>
        <w:rPr>
          <w:lang w:eastAsia="zh-CN"/>
        </w:rPr>
      </w:pPr>
      <w:r>
        <w:rPr>
          <w:lang w:eastAsia="zh-CN"/>
        </w:rPr>
        <w:t xml:space="preserve">Целью данной работы было разработать феноменологическую модель метамагнитного фазового перехода первого рода в приближении локализованных моментов для сплавов </w:t>
      </w:r>
      <w:proofErr w:type="gramStart"/>
      <w:r>
        <w:rPr>
          <w:lang w:eastAsia="zh-CN"/>
        </w:rPr>
        <w:t>La(</w:t>
      </w:r>
      <w:proofErr w:type="spellStart"/>
      <w:proofErr w:type="gramEnd"/>
      <w:r>
        <w:rPr>
          <w:lang w:eastAsia="zh-CN"/>
        </w:rPr>
        <w:t>Fe,Si</w:t>
      </w:r>
      <w:proofErr w:type="spellEnd"/>
      <w:r>
        <w:rPr>
          <w:lang w:eastAsia="zh-CN"/>
        </w:rPr>
        <w:t>)13 с учетом кинетических эффектов. Для достижения этой цели мы пересмотрели влияние фононов на термодинамический потенциал Гиббса, исключив интегралы Дебая следующим способом:</w:t>
      </w:r>
    </w:p>
    <w:p w14:paraId="6B75A42C" w14:textId="41A1D5E3" w:rsidR="0038772F" w:rsidRPr="005E2AA1" w:rsidRDefault="005E2AA1" w:rsidP="005E2AA1">
      <w:pPr>
        <w:ind w:firstLine="851"/>
        <w:jc w:val="center"/>
        <w:rPr>
          <w:lang w:eastAsia="zh-CN"/>
        </w:rPr>
      </w:pPr>
      <m:oMath>
        <m:sSub>
          <m:sSubPr>
            <m:ctrlPr>
              <w:rPr>
                <w:rFonts w:ascii="Cambria Math" w:hAnsi="Cambria Math"/>
                <w:iCs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ph</m:t>
            </m:r>
          </m:sub>
        </m:sSub>
        <m:d>
          <m:dPr>
            <m:ctrlPr>
              <w:rPr>
                <w:rFonts w:ascii="Cambria Math" w:hAnsi="Cambria Math"/>
                <w:iCs/>
                <w:lang w:eastAsia="zh-CN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ω, T</m:t>
            </m:r>
          </m:e>
        </m:d>
        <m:r>
          <w:rPr>
            <w:rFonts w:ascii="Cambria Math" w:hAnsi="Cambria Math"/>
            <w:lang w:eastAsia="zh-CN"/>
          </w:rPr>
          <m:t>≈const+</m:t>
        </m:r>
        <m:f>
          <m:fPr>
            <m:ctrlPr>
              <w:rPr>
                <w:rFonts w:ascii="Cambria Math" w:hAnsi="Cambria Math"/>
                <w:i/>
                <w:iCs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ω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eastAsia="zh-CN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lang w:eastAsia="zh-CN"/>
          </w:rPr>
          <m:t>+</m:t>
        </m:r>
        <m:f>
          <m:fPr>
            <m:ctrlPr>
              <w:rPr>
                <w:rFonts w:ascii="Cambria Math" w:hAnsi="Cambria Math"/>
                <w:i/>
                <w:iCs/>
                <w:lang w:eastAsia="zh-CN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3</m:t>
            </m:r>
          </m:num>
          <m:den>
            <m:r>
              <w:rPr>
                <w:rFonts w:ascii="Cambria Math" w:hAnsi="Cambria Math"/>
                <w:lang w:eastAsia="zh-CN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iCs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ph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k</m:t>
            </m:r>
          </m:e>
          <m:sub>
            <m:r>
              <w:rPr>
                <w:rFonts w:ascii="Cambria Math" w:hAnsi="Cambria Math"/>
                <w:lang w:eastAsia="zh-CN"/>
              </w:rPr>
              <m:t>B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w:rPr>
                <w:rFonts w:ascii="Cambria Math" w:hAnsi="Cambria Math"/>
                <w:lang w:eastAsia="zh-CN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lang w:eastAsia="zh-CN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ω</m:t>
            </m:r>
          </m:e>
        </m:d>
        <m:r>
          <w:rPr>
            <w:rFonts w:ascii="Cambria Math" w:hAnsi="Cambria Math"/>
            <w:lang w:eastAsia="zh-CN"/>
          </w:rPr>
          <m:t>+3</m:t>
        </m:r>
        <m:sSub>
          <m:sSubPr>
            <m:ctrlPr>
              <w:rPr>
                <w:rFonts w:ascii="Cambria Math" w:hAnsi="Cambria Math"/>
                <w:i/>
                <w:iCs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ph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k</m:t>
            </m:r>
          </m:e>
          <m:sub>
            <m:r>
              <w:rPr>
                <w:rFonts w:ascii="Cambria Math" w:hAnsi="Cambria Math"/>
                <w:lang w:eastAsia="zh-CN"/>
              </w:rPr>
              <m:t>B</m:t>
            </m:r>
          </m:sub>
        </m:sSub>
        <m:r>
          <w:rPr>
            <w:rFonts w:ascii="Cambria Math" w:hAnsi="Cambria Math"/>
            <w:lang w:eastAsia="zh-CN"/>
          </w:rPr>
          <m:t>T</m:t>
        </m:r>
        <m:func>
          <m:funcPr>
            <m:ctrlPr>
              <w:rPr>
                <w:rFonts w:ascii="Cambria Math" w:hAnsi="Cambria Math"/>
                <w:i/>
                <w:iCs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iCs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C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D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eastAsia="zh-C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ω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  <w:lang w:eastAsia="zh-CN"/>
                          </w:rPr>
                          <m:t>T</m:t>
                        </m:r>
                      </m:den>
                    </m:f>
                  </m:sup>
                </m:sSup>
              </m:e>
            </m:d>
          </m:e>
        </m:func>
      </m:oMath>
      <w:r>
        <w:rPr>
          <w:lang w:eastAsia="zh-CN"/>
        </w:rPr>
        <w:t>,</w:t>
      </w:r>
    </w:p>
    <w:p w14:paraId="1B281184" w14:textId="2A8097A5" w:rsidR="0038772F" w:rsidRDefault="005E2AA1" w:rsidP="005E2AA1">
      <w:pPr>
        <w:jc w:val="both"/>
        <w:rPr>
          <w:lang w:eastAsia="zh-CN"/>
        </w:rPr>
      </w:pPr>
      <w:r>
        <w:rPr>
          <w:lang w:eastAsia="zh-CN"/>
        </w:rPr>
        <w:t>гд</w:t>
      </w:r>
      <w:r w:rsidR="0038772F">
        <w:rPr>
          <w:lang w:eastAsia="zh-CN"/>
        </w:rPr>
        <w:t>е</w:t>
      </w:r>
      <w:r>
        <w:rPr>
          <w:lang w:eastAsia="zh-CN"/>
        </w:rPr>
        <w:t xml:space="preserve"> </w:t>
      </w:r>
      <w:r>
        <w:rPr>
          <w:rFonts w:ascii="Calibri" w:hAnsi="Calibri" w:cs="Calibri"/>
          <w:lang w:eastAsia="zh-CN"/>
        </w:rPr>
        <w:t>ω</w:t>
      </w:r>
      <w:r>
        <w:rPr>
          <w:lang w:eastAsia="zh-CN"/>
        </w:rPr>
        <w:t xml:space="preserve"> – относительное изменение объема, </w:t>
      </w:r>
      <m:oMath>
        <m:sSub>
          <m:sSubPr>
            <m:ctrlPr>
              <w:rPr>
                <w:rFonts w:ascii="Cambria Math" w:hAnsi="Cambria Math"/>
                <w:i/>
                <w:iCs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T</m:t>
            </m:r>
          </m:e>
          <m:sub>
            <m:r>
              <w:rPr>
                <w:rFonts w:ascii="Cambria Math" w:hAnsi="Cambria Math"/>
                <w:lang w:eastAsia="zh-CN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lang w:eastAsia="zh-CN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ω</m:t>
            </m:r>
          </m:e>
        </m:d>
      </m:oMath>
      <w:r>
        <w:rPr>
          <w:iCs/>
          <w:lang w:eastAsia="zh-CN"/>
        </w:rPr>
        <w:t xml:space="preserve"> – температура Дебая, для которой справедливо </w:t>
      </w:r>
      <m:oMath>
        <m:d>
          <m:dPr>
            <m:ctrlPr>
              <w:rPr>
                <w:rFonts w:ascii="Cambria Math" w:hAnsi="Cambria Math"/>
                <w:i/>
                <w:iCs/>
                <w:lang w:eastAsia="zh-CN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lang w:eastAsia="zh-CN"/>
                  </w:rPr>
                </m:ctrlPr>
              </m:fPr>
              <m:num>
                <m:r>
                  <w:rPr>
                    <w:rFonts w:ascii="Cambria Math" w:hAnsi="Cambria Math"/>
                    <w:lang w:eastAsia="zh-CN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zh-C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zh-CN"/>
                      </w:rPr>
                      <m:t>ω</m:t>
                    </m:r>
                  </m:e>
                </m:d>
              </m:num>
              <m:den>
                <m:r>
                  <w:rPr>
                    <w:rFonts w:ascii="Cambria Math" w:hAnsi="Cambria Math"/>
                    <w:lang w:eastAsia="zh-CN"/>
                  </w:rPr>
                  <m:t>∂ω</m:t>
                </m:r>
              </m:den>
            </m:f>
          </m:e>
        </m:d>
        <m:r>
          <w:rPr>
            <w:rFonts w:ascii="Cambria Math" w:hAnsi="Cambria Math"/>
            <w:lang w:eastAsia="zh-CN"/>
          </w:rPr>
          <m:t>≈-</m:t>
        </m:r>
        <m:sSub>
          <m:sSubPr>
            <m:ctrlPr>
              <w:rPr>
                <w:rFonts w:ascii="Cambria Math" w:hAnsi="Cambria Math"/>
                <w:i/>
                <w:iCs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γ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f>
          <m:fPr>
            <m:ctrlPr>
              <w:rPr>
                <w:rFonts w:ascii="Cambria Math" w:hAnsi="Cambria Math"/>
                <w:i/>
                <w:iCs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iCs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lang w:eastAsia="zh-CN"/>
                  </w:rPr>
                  <m:t>ω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iCs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lang w:eastAsia="zh-CN"/>
                  </w:rPr>
                  <m:t>1+ω</m:t>
                </m:r>
              </m:e>
            </m:d>
          </m:den>
        </m:f>
      </m:oMath>
      <w:r>
        <w:rPr>
          <w:iCs/>
          <w:lang w:eastAsia="zh-CN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γ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</m:oMath>
      <w:r>
        <w:rPr>
          <w:iCs/>
          <w:lang w:eastAsia="zh-CN"/>
        </w:rPr>
        <w:t xml:space="preserve"> – параметр </w:t>
      </w:r>
      <w:proofErr w:type="spellStart"/>
      <w:r>
        <w:rPr>
          <w:iCs/>
          <w:lang w:eastAsia="zh-CN"/>
        </w:rPr>
        <w:t>Грюнайзена</w:t>
      </w:r>
      <w:proofErr w:type="spellEnd"/>
      <w:r>
        <w:rPr>
          <w:iCs/>
          <w:lang w:eastAsia="zh-CN"/>
        </w:rPr>
        <w:t>.</w:t>
      </w:r>
    </w:p>
    <w:p w14:paraId="44327A65" w14:textId="3E47D7CC" w:rsidR="001F4F0F" w:rsidRDefault="00CD39BE" w:rsidP="0061534F">
      <w:pPr>
        <w:ind w:firstLine="851"/>
        <w:jc w:val="both"/>
        <w:rPr>
          <w:lang w:eastAsia="zh-CN"/>
        </w:rPr>
      </w:pPr>
      <w:r>
        <w:rPr>
          <w:lang w:eastAsia="zh-CN"/>
        </w:rPr>
        <w:t>С тем, чтобы</w:t>
      </w:r>
      <w:r w:rsidRPr="00CD39BE">
        <w:rPr>
          <w:lang w:eastAsia="zh-CN"/>
        </w:rPr>
        <w:t xml:space="preserve"> учесть адиабатические условия, в которых предполагается использовать хладагенты, мы </w:t>
      </w:r>
      <w:r>
        <w:rPr>
          <w:lang w:eastAsia="zh-CN"/>
        </w:rPr>
        <w:t>учли</w:t>
      </w:r>
      <w:r w:rsidRPr="00CD39BE">
        <w:rPr>
          <w:lang w:eastAsia="zh-CN"/>
        </w:rPr>
        <w:t xml:space="preserve"> зависимость параметров гистерезиса от скорости нарастания магнитного поля для образцов </w:t>
      </w:r>
      <w:proofErr w:type="gramStart"/>
      <w:r w:rsidRPr="00CD39BE">
        <w:rPr>
          <w:lang w:eastAsia="zh-CN"/>
        </w:rPr>
        <w:t>La(</w:t>
      </w:r>
      <w:proofErr w:type="spellStart"/>
      <w:proofErr w:type="gramEnd"/>
      <w:r w:rsidRPr="00CD39BE">
        <w:rPr>
          <w:lang w:eastAsia="zh-CN"/>
        </w:rPr>
        <w:t>Fe,Si</w:t>
      </w:r>
      <w:proofErr w:type="spellEnd"/>
      <w:r w:rsidRPr="00CD39BE">
        <w:rPr>
          <w:lang w:eastAsia="zh-CN"/>
        </w:rPr>
        <w:t>)13 в изотермических условиях</w:t>
      </w:r>
      <w:r>
        <w:rPr>
          <w:lang w:eastAsia="zh-CN"/>
        </w:rPr>
        <w:t>, а также</w:t>
      </w:r>
      <w:r w:rsidRPr="00CD39BE">
        <w:rPr>
          <w:lang w:eastAsia="zh-CN"/>
        </w:rPr>
        <w:t xml:space="preserve"> </w:t>
      </w:r>
      <w:r>
        <w:rPr>
          <w:lang w:eastAsia="zh-CN"/>
        </w:rPr>
        <w:t>и</w:t>
      </w:r>
      <w:r w:rsidRPr="00CD39BE">
        <w:rPr>
          <w:lang w:eastAsia="zh-CN"/>
        </w:rPr>
        <w:t>зменение</w:t>
      </w:r>
      <w:r w:rsidRPr="00CD39BE">
        <w:rPr>
          <w:lang w:eastAsia="zh-CN"/>
        </w:rPr>
        <w:t xml:space="preserve"> температуры рабочего тела</w:t>
      </w:r>
      <w:r>
        <w:rPr>
          <w:lang w:eastAsia="zh-CN"/>
        </w:rPr>
        <w:t>:</w:t>
      </w:r>
    </w:p>
    <w:p w14:paraId="744D4961" w14:textId="77777777" w:rsidR="00CD39BE" w:rsidRDefault="00CD39BE" w:rsidP="00CD39BE">
      <w:pPr>
        <w:ind w:firstLine="851"/>
        <w:jc w:val="center"/>
        <w:rPr>
          <w:bCs/>
        </w:rPr>
      </w:pP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dM</m:t>
                </m:r>
              </m:num>
              <m:den>
                <m:r>
                  <w:rPr>
                    <w:rFonts w:ascii="Cambria Math" w:hAnsi="Cambria Math"/>
                  </w:rPr>
                  <m:t>dt</m:t>
                </m:r>
              </m:den>
            </m:f>
          </m:e>
        </m:d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Γ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dM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p,H,T</m:t>
            </m:r>
          </m:sub>
        </m:sSub>
      </m:oMath>
      <w:r w:rsidRPr="00CD39BE">
        <w:rPr>
          <w:bCs/>
        </w:rPr>
        <w:t>,</w:t>
      </w:r>
    </w:p>
    <w:p w14:paraId="6E446B6D" w14:textId="606E8684" w:rsidR="00CD39BE" w:rsidRDefault="00CD39BE" w:rsidP="00CD39BE">
      <w:pPr>
        <w:jc w:val="both"/>
        <w:rPr>
          <w:bCs/>
        </w:rPr>
      </w:pPr>
      <w:r>
        <w:rPr>
          <w:bCs/>
        </w:rPr>
        <w:t xml:space="preserve">где </w:t>
      </w:r>
      <m:oMath>
        <m:r>
          <w:rPr>
            <w:rFonts w:ascii="Cambria Math" w:hAnsi="Cambria Math"/>
          </w:rPr>
          <m:t>F</m:t>
        </m:r>
      </m:oMath>
      <w:r>
        <w:rPr>
          <w:bCs/>
        </w:rPr>
        <w:t xml:space="preserve"> – свободная энергия Гельмгольца,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rPr>
          <w:bCs/>
        </w:rPr>
        <w:t xml:space="preserve"> – кинетический коэффициент. На каждом новом шаге расчета устанавливалось значение поля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±n∆H</m:t>
        </m:r>
      </m:oMath>
      <w:r w:rsidRPr="00CD39BE">
        <w:rPr>
          <w:bCs/>
        </w:rPr>
        <w:t xml:space="preserve"> (</w:t>
      </w:r>
      <m:oMath>
        <m:r>
          <w:rPr>
            <w:rFonts w:ascii="Cambria Math" w:hAnsi="Cambria Math"/>
          </w:rPr>
          <m:t>∆H</m:t>
        </m:r>
      </m:oMath>
      <w:r w:rsidRPr="00CD39BE">
        <w:rPr>
          <w:bCs/>
        </w:rPr>
        <w:t xml:space="preserve"> – </w:t>
      </w:r>
      <w:r>
        <w:rPr>
          <w:bCs/>
        </w:rPr>
        <w:t>шаг по полю при увеличении/уменьшении поля</w:t>
      </w:r>
      <w:r w:rsidRPr="00CD39BE">
        <w:rPr>
          <w:bCs/>
        </w:rPr>
        <w:t>)</w:t>
      </w:r>
      <w:r>
        <w:rPr>
          <w:bCs/>
        </w:rPr>
        <w:t xml:space="preserve"> и значение температуры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±n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∂∆T</m:t>
                </m:r>
              </m:num>
              <m:den>
                <m:r>
                  <w:rPr>
                    <w:rFonts w:ascii="Cambria Math" w:hAnsi="Cambria Math"/>
                  </w:rPr>
                  <m:t>∂H</m:t>
                </m:r>
              </m:den>
            </m:f>
          </m:e>
        </m:d>
      </m:oMath>
      <w:r w:rsidR="00720DCB">
        <w:rPr>
          <w:bCs/>
        </w:rPr>
        <w:t xml:space="preserve">, где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∂∆T</m:t>
                </m:r>
              </m:num>
              <m:den>
                <m:r>
                  <w:rPr>
                    <w:rFonts w:ascii="Cambria Math" w:hAnsi="Cambria Math"/>
                  </w:rPr>
                  <m:t>∂H</m:t>
                </m:r>
              </m:den>
            </m:f>
          </m:e>
        </m:d>
      </m:oMath>
      <w:r w:rsidR="00720DCB">
        <w:rPr>
          <w:bCs/>
        </w:rPr>
        <w:t xml:space="preserve"> находится из экспериментальной зависимости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ad</m:t>
            </m:r>
          </m:sub>
        </m:sSub>
      </m:oMath>
      <w:r w:rsidR="00720DCB" w:rsidRPr="00720DCB">
        <w:rPr>
          <w:bCs/>
        </w:rPr>
        <w:t xml:space="preserve"> </w:t>
      </w:r>
      <w:r w:rsidR="00720DCB" w:rsidRPr="00720DCB">
        <w:rPr>
          <w:bCs/>
          <w:i/>
          <w:iCs/>
          <w:lang w:val="en-US"/>
        </w:rPr>
        <w:t>vs</w:t>
      </w:r>
      <w:r w:rsidR="00720DCB" w:rsidRPr="00720DCB">
        <w:rPr>
          <w:bCs/>
        </w:rPr>
        <w:t xml:space="preserve"> </w:t>
      </w:r>
      <m:oMath>
        <m:r>
          <w:rPr>
            <w:rFonts w:ascii="Cambria Math" w:hAnsi="Cambria Math"/>
          </w:rPr>
          <m:t>H</m:t>
        </m:r>
      </m:oMath>
      <w:r w:rsidR="00720DCB" w:rsidRPr="00720DCB">
        <w:rPr>
          <w:bCs/>
        </w:rPr>
        <w:t>.</w:t>
      </w:r>
    </w:p>
    <w:p w14:paraId="0B2B6C45" w14:textId="77777777" w:rsidR="00720DCB" w:rsidRPr="00720DCB" w:rsidRDefault="00720DCB" w:rsidP="00CD39BE">
      <w:pPr>
        <w:jc w:val="both"/>
        <w:rPr>
          <w:bCs/>
          <w:i/>
          <w:lang w:val="en-US"/>
        </w:rPr>
      </w:pPr>
    </w:p>
    <w:p w14:paraId="5F8E4277" w14:textId="77777777" w:rsidR="001942D4" w:rsidRPr="00720DCB" w:rsidRDefault="00813C9E" w:rsidP="00011E41">
      <w:pPr>
        <w:ind w:firstLine="426"/>
        <w:jc w:val="center"/>
        <w:rPr>
          <w:b/>
          <w:color w:val="000000"/>
          <w:shd w:val="clear" w:color="auto" w:fill="FFFFFF"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6F98BDE6" w14:textId="7861F12F" w:rsidR="00C87D1B" w:rsidRPr="00C87D1B" w:rsidRDefault="003C5F80" w:rsidP="00453EF9">
      <w:pPr>
        <w:pStyle w:val="af1"/>
        <w:ind w:left="851" w:hanging="425"/>
        <w:jc w:val="both"/>
        <w:rPr>
          <w:lang w:val="en-US"/>
        </w:rPr>
      </w:pPr>
      <w:r>
        <w:rPr>
          <w:b/>
        </w:rPr>
        <w:fldChar w:fldCharType="begin"/>
      </w:r>
      <w:r w:rsidR="00C87D1B" w:rsidRPr="00720DCB">
        <w:rPr>
          <w:b/>
          <w:lang w:val="en-US"/>
        </w:rPr>
        <w:instrText xml:space="preserve"> </w:instrText>
      </w:r>
      <w:r w:rsidR="00C87D1B">
        <w:rPr>
          <w:b/>
          <w:lang w:val="en-US"/>
        </w:rPr>
        <w:instrText>ADDIN</w:instrText>
      </w:r>
      <w:r w:rsidR="00C87D1B" w:rsidRPr="00720DCB">
        <w:rPr>
          <w:b/>
          <w:lang w:val="en-US"/>
        </w:rPr>
        <w:instrText xml:space="preserve"> </w:instrText>
      </w:r>
      <w:r w:rsidR="00C87D1B">
        <w:rPr>
          <w:b/>
          <w:lang w:val="en-US"/>
        </w:rPr>
        <w:instrText>ZOTERO</w:instrText>
      </w:r>
      <w:r w:rsidR="00C87D1B" w:rsidRPr="00720DCB">
        <w:rPr>
          <w:b/>
          <w:lang w:val="en-US"/>
        </w:rPr>
        <w:instrText>_</w:instrText>
      </w:r>
      <w:r w:rsidR="00C87D1B">
        <w:rPr>
          <w:b/>
          <w:lang w:val="en-US"/>
        </w:rPr>
        <w:instrText>BIBL</w:instrText>
      </w:r>
      <w:r w:rsidR="00C87D1B" w:rsidRPr="00720DCB">
        <w:rPr>
          <w:b/>
          <w:lang w:val="en-US"/>
        </w:rPr>
        <w:instrText xml:space="preserve"> {"</w:instrText>
      </w:r>
      <w:r w:rsidR="00C87D1B">
        <w:rPr>
          <w:b/>
          <w:lang w:val="en-US"/>
        </w:rPr>
        <w:instrText>uncited</w:instrText>
      </w:r>
      <w:r w:rsidR="00C87D1B" w:rsidRPr="00720DCB">
        <w:rPr>
          <w:b/>
          <w:lang w:val="en-US"/>
        </w:rPr>
        <w:instrText>":[],"</w:instrText>
      </w:r>
      <w:r w:rsidR="00C87D1B">
        <w:rPr>
          <w:b/>
          <w:lang w:val="en-US"/>
        </w:rPr>
        <w:instrText>omitted</w:instrText>
      </w:r>
      <w:r w:rsidR="00C87D1B" w:rsidRPr="00720DCB">
        <w:rPr>
          <w:b/>
          <w:lang w:val="en-US"/>
        </w:rPr>
        <w:instrText>":[],"</w:instrText>
      </w:r>
      <w:r w:rsidR="00C87D1B">
        <w:rPr>
          <w:b/>
          <w:lang w:val="en-US"/>
        </w:rPr>
        <w:instrText>custom</w:instrText>
      </w:r>
      <w:r w:rsidR="00C87D1B" w:rsidRPr="00720DCB">
        <w:rPr>
          <w:b/>
          <w:lang w:val="en-US"/>
        </w:rPr>
        <w:instrText xml:space="preserve">":[]} </w:instrText>
      </w:r>
      <w:r w:rsidR="00C87D1B">
        <w:rPr>
          <w:b/>
          <w:lang w:val="en-US"/>
        </w:rPr>
        <w:instrText>CSL</w:instrText>
      </w:r>
      <w:r w:rsidR="00C87D1B" w:rsidRPr="00720DCB">
        <w:rPr>
          <w:b/>
          <w:lang w:val="en-US"/>
        </w:rPr>
        <w:instrText>_</w:instrText>
      </w:r>
      <w:r w:rsidR="00C87D1B">
        <w:rPr>
          <w:b/>
          <w:lang w:val="en-US"/>
        </w:rPr>
        <w:instrText>BIBLIOGRAPHY</w:instrText>
      </w:r>
      <w:r w:rsidR="00C87D1B" w:rsidRPr="00720DCB">
        <w:rPr>
          <w:b/>
          <w:lang w:val="en-US"/>
        </w:rPr>
        <w:instrText xml:space="preserve"> </w:instrText>
      </w:r>
      <w:r>
        <w:rPr>
          <w:b/>
        </w:rPr>
        <w:fldChar w:fldCharType="separate"/>
      </w:r>
      <w:r w:rsidR="00C87D1B" w:rsidRPr="00720DCB">
        <w:rPr>
          <w:lang w:val="en-US"/>
        </w:rPr>
        <w:t xml:space="preserve">1. </w:t>
      </w:r>
      <w:r w:rsidR="00720DCB" w:rsidRPr="00720DCB">
        <w:rPr>
          <w:lang w:val="en-US"/>
        </w:rPr>
        <w:t>Rui M Costa et al</w:t>
      </w:r>
      <w:r w:rsidR="00720DCB">
        <w:rPr>
          <w:lang w:val="en-US"/>
        </w:rPr>
        <w:t xml:space="preserve">., </w:t>
      </w:r>
      <w:r w:rsidR="00720DCB" w:rsidRPr="00720DCB">
        <w:rPr>
          <w:lang w:val="en-US"/>
        </w:rPr>
        <w:t>Landau theory-based relaxational modeling of first-order magnetic transition dynamics in magnetocaloric materials</w:t>
      </w:r>
      <w:r w:rsidR="00720DCB">
        <w:rPr>
          <w:lang w:val="en-US"/>
        </w:rPr>
        <w:t xml:space="preserve">., </w:t>
      </w:r>
      <w:r w:rsidR="00720DCB" w:rsidRPr="00720DCB">
        <w:rPr>
          <w:lang w:val="en-US"/>
        </w:rPr>
        <w:t>2023 J. Phys. D: Appl. Phys. 56 155001</w:t>
      </w:r>
    </w:p>
    <w:p w14:paraId="71FCD5F1" w14:textId="294DD061" w:rsidR="00011E41" w:rsidRPr="001C34DE" w:rsidRDefault="003C5F80" w:rsidP="00C87D1B">
      <w:pPr>
        <w:rPr>
          <w:i/>
          <w:color w:val="000000"/>
          <w:szCs w:val="20"/>
          <w:lang w:val="en-US"/>
        </w:rPr>
      </w:pPr>
      <w:r>
        <w:rPr>
          <w:b/>
        </w:rPr>
        <w:fldChar w:fldCharType="end"/>
      </w:r>
    </w:p>
    <w:sectPr w:rsidR="00011E41" w:rsidRPr="001C34DE" w:rsidSect="00813C9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4651" w14:textId="77777777" w:rsidR="00E92D0B" w:rsidRDefault="00E92D0B">
      <w:r>
        <w:separator/>
      </w:r>
    </w:p>
  </w:endnote>
  <w:endnote w:type="continuationSeparator" w:id="0">
    <w:p w14:paraId="3A3E9CEC" w14:textId="77777777" w:rsidR="00E92D0B" w:rsidRDefault="00E9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039D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485110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C863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F309" w14:textId="77777777" w:rsidR="00E92D0B" w:rsidRDefault="00E92D0B">
      <w:r>
        <w:separator/>
      </w:r>
    </w:p>
  </w:footnote>
  <w:footnote w:type="continuationSeparator" w:id="0">
    <w:p w14:paraId="792BE3C0" w14:textId="77777777" w:rsidR="00E92D0B" w:rsidRDefault="00E92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12D1B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F291C"/>
    <w:rsid w:val="00101912"/>
    <w:rsid w:val="00114F90"/>
    <w:rsid w:val="00145559"/>
    <w:rsid w:val="00145725"/>
    <w:rsid w:val="001560FA"/>
    <w:rsid w:val="00164C5C"/>
    <w:rsid w:val="00191B00"/>
    <w:rsid w:val="001942D4"/>
    <w:rsid w:val="001C34DE"/>
    <w:rsid w:val="001C65A7"/>
    <w:rsid w:val="001E738D"/>
    <w:rsid w:val="001F4F0F"/>
    <w:rsid w:val="00203945"/>
    <w:rsid w:val="002522CA"/>
    <w:rsid w:val="00255D23"/>
    <w:rsid w:val="002700F0"/>
    <w:rsid w:val="002D0661"/>
    <w:rsid w:val="0031057A"/>
    <w:rsid w:val="003134BF"/>
    <w:rsid w:val="003407FB"/>
    <w:rsid w:val="00345AF6"/>
    <w:rsid w:val="0034624D"/>
    <w:rsid w:val="0036078F"/>
    <w:rsid w:val="00372B30"/>
    <w:rsid w:val="003733F1"/>
    <w:rsid w:val="00387196"/>
    <w:rsid w:val="0038772F"/>
    <w:rsid w:val="003A1889"/>
    <w:rsid w:val="003A7D50"/>
    <w:rsid w:val="003B0219"/>
    <w:rsid w:val="003C5F80"/>
    <w:rsid w:val="003C665C"/>
    <w:rsid w:val="0040718C"/>
    <w:rsid w:val="00412D4B"/>
    <w:rsid w:val="00442D0A"/>
    <w:rsid w:val="00453EF9"/>
    <w:rsid w:val="00457B76"/>
    <w:rsid w:val="00461070"/>
    <w:rsid w:val="00471C89"/>
    <w:rsid w:val="004774A3"/>
    <w:rsid w:val="00486049"/>
    <w:rsid w:val="004C1B51"/>
    <w:rsid w:val="004C488B"/>
    <w:rsid w:val="004F0E58"/>
    <w:rsid w:val="004F3B26"/>
    <w:rsid w:val="004F6B8A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2AA1"/>
    <w:rsid w:val="005E4425"/>
    <w:rsid w:val="005E788B"/>
    <w:rsid w:val="005F4736"/>
    <w:rsid w:val="00604F95"/>
    <w:rsid w:val="00613B5D"/>
    <w:rsid w:val="0061534F"/>
    <w:rsid w:val="00623A05"/>
    <w:rsid w:val="00630801"/>
    <w:rsid w:val="0065799F"/>
    <w:rsid w:val="00665540"/>
    <w:rsid w:val="00684521"/>
    <w:rsid w:val="00691213"/>
    <w:rsid w:val="006B6B4F"/>
    <w:rsid w:val="006B6BFD"/>
    <w:rsid w:val="006C6C75"/>
    <w:rsid w:val="006D39CB"/>
    <w:rsid w:val="006E2A0B"/>
    <w:rsid w:val="006F21F0"/>
    <w:rsid w:val="00704E39"/>
    <w:rsid w:val="0071479B"/>
    <w:rsid w:val="00720DCB"/>
    <w:rsid w:val="00726440"/>
    <w:rsid w:val="007533AC"/>
    <w:rsid w:val="00763BEC"/>
    <w:rsid w:val="0078361D"/>
    <w:rsid w:val="00794FD8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B0CF1"/>
    <w:rsid w:val="008D0BC8"/>
    <w:rsid w:val="008D3631"/>
    <w:rsid w:val="008E6318"/>
    <w:rsid w:val="008F41D2"/>
    <w:rsid w:val="008F5B75"/>
    <w:rsid w:val="00901D74"/>
    <w:rsid w:val="00904BA7"/>
    <w:rsid w:val="00925138"/>
    <w:rsid w:val="00960060"/>
    <w:rsid w:val="009654CD"/>
    <w:rsid w:val="00971DA1"/>
    <w:rsid w:val="009A22EE"/>
    <w:rsid w:val="009C6D9B"/>
    <w:rsid w:val="009F1B7E"/>
    <w:rsid w:val="009F3AFE"/>
    <w:rsid w:val="00A318C8"/>
    <w:rsid w:val="00A75DF2"/>
    <w:rsid w:val="00AD4300"/>
    <w:rsid w:val="00AE61B7"/>
    <w:rsid w:val="00B07841"/>
    <w:rsid w:val="00B40569"/>
    <w:rsid w:val="00B60661"/>
    <w:rsid w:val="00B60CBC"/>
    <w:rsid w:val="00B71CCF"/>
    <w:rsid w:val="00B87ADC"/>
    <w:rsid w:val="00B9050C"/>
    <w:rsid w:val="00B90D6E"/>
    <w:rsid w:val="00BA269F"/>
    <w:rsid w:val="00BB1D57"/>
    <w:rsid w:val="00BC53DF"/>
    <w:rsid w:val="00BD7F79"/>
    <w:rsid w:val="00BE25FB"/>
    <w:rsid w:val="00BF1D85"/>
    <w:rsid w:val="00BF258B"/>
    <w:rsid w:val="00C13C66"/>
    <w:rsid w:val="00C23BEC"/>
    <w:rsid w:val="00C248C4"/>
    <w:rsid w:val="00C5230D"/>
    <w:rsid w:val="00C55FC0"/>
    <w:rsid w:val="00C82183"/>
    <w:rsid w:val="00C87D1B"/>
    <w:rsid w:val="00C914C4"/>
    <w:rsid w:val="00C92CD8"/>
    <w:rsid w:val="00CC748C"/>
    <w:rsid w:val="00CD39BE"/>
    <w:rsid w:val="00CD4908"/>
    <w:rsid w:val="00CE5B12"/>
    <w:rsid w:val="00D11384"/>
    <w:rsid w:val="00D2475A"/>
    <w:rsid w:val="00D24999"/>
    <w:rsid w:val="00D4212E"/>
    <w:rsid w:val="00D6493C"/>
    <w:rsid w:val="00D90DF5"/>
    <w:rsid w:val="00DB700E"/>
    <w:rsid w:val="00DD7095"/>
    <w:rsid w:val="00DD7765"/>
    <w:rsid w:val="00E20375"/>
    <w:rsid w:val="00E22224"/>
    <w:rsid w:val="00E63F1A"/>
    <w:rsid w:val="00E64A9A"/>
    <w:rsid w:val="00E65676"/>
    <w:rsid w:val="00E65683"/>
    <w:rsid w:val="00E92D0B"/>
    <w:rsid w:val="00EA4C97"/>
    <w:rsid w:val="00ED0FEB"/>
    <w:rsid w:val="00EE2373"/>
    <w:rsid w:val="00EF5FB6"/>
    <w:rsid w:val="00F30866"/>
    <w:rsid w:val="00F318FB"/>
    <w:rsid w:val="00F40B92"/>
    <w:rsid w:val="00F538BF"/>
    <w:rsid w:val="00F7405A"/>
    <w:rsid w:val="00FB1B7D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FED1C"/>
  <w15:chartTrackingRefBased/>
  <w15:docId w15:val="{84EF77BB-E7E3-4646-94B7-9F0867BB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20D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Unresolved Mention"/>
    <w:uiPriority w:val="99"/>
    <w:semiHidden/>
    <w:unhideWhenUsed/>
    <w:rsid w:val="00DD7095"/>
    <w:rPr>
      <w:color w:val="605E5C"/>
      <w:shd w:val="clear" w:color="auto" w:fill="E1DFDD"/>
    </w:rPr>
  </w:style>
  <w:style w:type="paragraph" w:styleId="af1">
    <w:name w:val="Bibliography"/>
    <w:basedOn w:val="a"/>
    <w:next w:val="a"/>
    <w:uiPriority w:val="37"/>
    <w:unhideWhenUsed/>
    <w:rsid w:val="003C5F80"/>
    <w:pPr>
      <w:spacing w:after="240"/>
    </w:pPr>
  </w:style>
  <w:style w:type="paragraph" w:styleId="af2">
    <w:name w:val="footnote text"/>
    <w:basedOn w:val="a"/>
    <w:link w:val="af3"/>
    <w:semiHidden/>
    <w:unhideWhenUsed/>
    <w:rsid w:val="003C5F80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3C5F80"/>
  </w:style>
  <w:style w:type="character" w:styleId="af4">
    <w:name w:val="footnote reference"/>
    <w:semiHidden/>
    <w:unhideWhenUsed/>
    <w:rsid w:val="003C5F80"/>
    <w:rPr>
      <w:vertAlign w:val="superscript"/>
    </w:rPr>
  </w:style>
  <w:style w:type="character" w:customStyle="1" w:styleId="10">
    <w:name w:val="Заголовок 1 Знак"/>
    <w:basedOn w:val="a0"/>
    <w:link w:val="1"/>
    <w:rsid w:val="00720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375B1-37BD-4138-B057-B2B04FEA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Родион Макарьин</cp:lastModifiedBy>
  <cp:revision>4</cp:revision>
  <dcterms:created xsi:type="dcterms:W3CDTF">2024-02-29T18:11:00Z</dcterms:created>
  <dcterms:modified xsi:type="dcterms:W3CDTF">2024-02-29T19:23:00Z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zotero-version="6.0.20"&gt;&lt;session id="J0uVdYgW"/&gt;&lt;style id="http://www.zotero.org/styles/gost-r-7-0-5-2008-numeric-alphabetical"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value="true"/&gt;&lt;/prefs&gt;&lt;/data&gt;</vt:lpwstr>
  </property>
</Properties>
</file>