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28" w:before="0" w:after="0"/>
        <w:ind w:left="3060" w:right="1580" w:hanging="1454"/>
        <w:jc w:val="left"/>
        <w:rPr>
          <w:sz w:val="24"/>
          <w:szCs w:val="24"/>
        </w:rPr>
      </w:pPr>
      <w:bookmarkStart w:id="0" w:name="page1"/>
      <w:bookmarkEnd w:id="0"/>
      <w:r>
        <w:rPr>
          <w:rFonts w:eastAsia="Times New Roman" w:cs="Times New Roman"/>
          <w:b/>
          <w:bCs/>
          <w:color w:val="auto"/>
          <w:sz w:val="24"/>
          <w:szCs w:val="24"/>
        </w:rPr>
        <w:t>Мультимодальные события в эксперименте Horizont-T</w:t>
      </w:r>
      <w:r>
        <w:rPr>
          <w:rFonts w:eastAsia="Times New Roman" w:cs="Times New Roman"/>
          <w:b/>
          <w:bCs/>
          <w:i/>
          <w:iCs/>
          <w:color w:val="auto"/>
          <w:sz w:val="24"/>
          <w:szCs w:val="24"/>
        </w:rPr>
        <w:t xml:space="preserve"> Самойлов М.А.</w:t>
      </w:r>
      <w:r>
        <w:rPr>
          <w:rFonts w:eastAsia="Times New Roman" w:cs="Times New Roman"/>
          <w:b/>
          <w:bCs/>
          <w:color w:val="auto"/>
          <w:sz w:val="24"/>
          <w:szCs w:val="24"/>
          <w:vertAlign w:val="superscript"/>
        </w:rPr>
        <w:t>11</w:t>
      </w:r>
      <w:r>
        <w:rPr>
          <w:rFonts w:eastAsia="Times New Roman" w:cs="Times New Roman"/>
          <w:b/>
          <w:bCs/>
          <w:i/>
          <w:iCs/>
          <w:color w:val="auto"/>
          <w:sz w:val="24"/>
          <w:szCs w:val="24"/>
        </w:rPr>
        <w:t>, Анохина А.М.</w:t>
      </w:r>
      <w:r>
        <w:rPr>
          <w:rFonts w:eastAsia="Times New Roman" w:cs="Times New Roman"/>
          <w:b/>
          <w:bCs/>
          <w:color w:val="auto"/>
          <w:sz w:val="24"/>
          <w:szCs w:val="24"/>
        </w:rPr>
        <w:t xml:space="preserve"> </w:t>
      </w:r>
      <w:r>
        <w:rPr>
          <w:rFonts w:eastAsia="Times New Roman" w:cs="Times New Roman"/>
          <w:b/>
          <w:bCs/>
          <w:color w:val="auto"/>
          <w:sz w:val="24"/>
          <w:szCs w:val="24"/>
          <w:vertAlign w:val="superscript"/>
        </w:rPr>
        <w:t>21</w:t>
      </w:r>
    </w:p>
    <w:p>
      <w:pPr>
        <w:pStyle w:val="Normal"/>
        <w:spacing w:lineRule="auto" w:line="194" w:before="0" w:after="0"/>
        <w:ind w:right="-459" w:hanging="0"/>
        <w:jc w:val="left"/>
        <w:rPr>
          <w:sz w:val="24"/>
          <w:szCs w:val="24"/>
        </w:rPr>
      </w:pPr>
      <w:r>
        <w:rPr>
          <w:rFonts w:eastAsia="Times New Roman" w:cs="Times New Roman"/>
          <w:color w:val="auto"/>
          <w:sz w:val="24"/>
          <w:szCs w:val="24"/>
          <w:vertAlign w:val="superscript"/>
        </w:rPr>
        <w:tab/>
        <w:tab/>
        <w:tab/>
        <w:tab/>
        <w:t xml:space="preserve">   </w:t>
      </w:r>
      <w:r>
        <w:rPr>
          <w:rFonts w:eastAsia="Times New Roman" w:cs="Times New Roman"/>
          <w:color w:val="auto"/>
          <w:sz w:val="22"/>
          <w:szCs w:val="22"/>
          <w:vertAlign w:val="superscript"/>
        </w:rPr>
        <w:t xml:space="preserve">  1</w:t>
      </w:r>
      <w:r>
        <w:rPr>
          <w:rFonts w:eastAsia="Times New Roman" w:cs="Times New Roman"/>
          <w:i/>
          <w:iCs/>
          <w:color w:val="auto"/>
          <w:sz w:val="22"/>
          <w:szCs w:val="22"/>
        </w:rPr>
        <w:t>студент,</w:t>
      </w:r>
      <w:r>
        <w:rPr>
          <w:rFonts w:eastAsia="Times New Roman" w:cs="Times New Roman"/>
          <w:color w:val="auto"/>
          <w:sz w:val="22"/>
          <w:szCs w:val="22"/>
        </w:rPr>
        <w:t xml:space="preserve"> </w:t>
      </w:r>
      <w:r>
        <w:rPr>
          <w:rFonts w:eastAsia="Times New Roman" w:cs="Times New Roman"/>
          <w:color w:val="auto"/>
          <w:sz w:val="22"/>
          <w:szCs w:val="22"/>
          <w:vertAlign w:val="superscript"/>
        </w:rPr>
        <w:t>2</w:t>
      </w:r>
      <w:r>
        <w:rPr>
          <w:rFonts w:eastAsia="Times New Roman" w:cs="Times New Roman"/>
          <w:i/>
          <w:iCs/>
          <w:color w:val="auto"/>
          <w:sz w:val="22"/>
          <w:szCs w:val="22"/>
        </w:rPr>
        <w:t>научный руководитель</w:t>
      </w:r>
    </w:p>
    <w:p>
      <w:pPr>
        <w:pStyle w:val="Normal"/>
        <w:spacing w:lineRule="exact" w:line="1" w:before="0" w:after="0"/>
        <w:jc w:val="left"/>
        <w:rPr>
          <w:color w:val="auto"/>
          <w:sz w:val="24"/>
          <w:szCs w:val="24"/>
        </w:rPr>
      </w:pPr>
      <w:r>
        <w:rPr>
          <w:color w:val="auto"/>
          <w:sz w:val="24"/>
          <w:szCs w:val="24"/>
        </w:rPr>
      </w:r>
    </w:p>
    <w:p>
      <w:pPr>
        <w:pStyle w:val="Normal"/>
        <w:spacing w:lineRule="auto" w:line="228" w:before="0" w:after="0"/>
        <w:ind w:left="540" w:right="520" w:firstLine="729"/>
        <w:jc w:val="left"/>
        <w:rPr/>
      </w:pPr>
      <w:r>
        <w:rPr>
          <w:rFonts w:eastAsia="Times New Roman" w:cs="Times New Roman"/>
          <w:color w:val="auto"/>
          <w:sz w:val="22"/>
          <w:szCs w:val="22"/>
          <w:vertAlign w:val="superscript"/>
        </w:rPr>
        <w:t>1</w:t>
      </w:r>
      <w:r>
        <w:rPr>
          <w:rFonts w:eastAsia="Times New Roman" w:cs="Times New Roman"/>
          <w:i/>
          <w:iCs/>
          <w:color w:val="auto"/>
          <w:sz w:val="22"/>
          <w:szCs w:val="22"/>
        </w:rPr>
        <w:t>Московский государственный университет имени М.В.Ломоносова, физический факультет, Москва, Россия, E–mail</w:t>
      </w:r>
      <w:r>
        <w:rPr>
          <w:rFonts w:eastAsia="Times New Roman" w:cs="Times New Roman"/>
          <w:color w:val="auto"/>
          <w:sz w:val="22"/>
          <w:szCs w:val="22"/>
        </w:rPr>
        <w:t>:</w:t>
      </w:r>
      <w:r>
        <w:rPr>
          <w:rFonts w:eastAsia="Times New Roman" w:cs="Times New Roman"/>
          <w:color w:val="1155CC"/>
          <w:sz w:val="22"/>
          <w:szCs w:val="22"/>
        </w:rPr>
        <w:t xml:space="preserve"> </w:t>
      </w:r>
      <w:hyperlink r:id="rId2">
        <w:r>
          <w:rPr>
            <w:rFonts w:eastAsia="Times New Roman" w:cs="Times New Roman"/>
            <w:i/>
            <w:iCs/>
            <w:color w:val="1155CC"/>
            <w:sz w:val="22"/>
            <w:szCs w:val="22"/>
            <w:u w:val="single" w:color="FFFFFF"/>
          </w:rPr>
          <w:t>samoilov.ma19@physics.msu.ru</w:t>
        </w:r>
      </w:hyperlink>
    </w:p>
    <w:p>
      <w:pPr>
        <w:pStyle w:val="Normal"/>
        <w:spacing w:lineRule="exact" w:line="165" w:before="0" w:after="0"/>
        <w:jc w:val="left"/>
        <w:rPr>
          <w:color w:val="auto"/>
          <w:sz w:val="24"/>
          <w:szCs w:val="24"/>
        </w:rPr>
      </w:pPr>
      <w:r>
        <w:rPr>
          <w:color w:val="auto"/>
          <w:sz w:val="24"/>
          <w:szCs w:val="24"/>
        </w:rPr>
      </w:r>
    </w:p>
    <w:p>
      <w:pPr>
        <w:pStyle w:val="Normal"/>
        <w:spacing w:lineRule="auto" w:line="247" w:before="0" w:after="0"/>
        <w:ind w:left="120" w:right="100" w:firstLine="720"/>
        <w:jc w:val="left"/>
        <w:rPr>
          <w:sz w:val="24"/>
          <w:szCs w:val="24"/>
        </w:rPr>
      </w:pPr>
      <w:r>
        <w:rPr>
          <w:rFonts w:eastAsia="Times New Roman" w:cs="Times New Roman"/>
          <w:color w:val="auto"/>
          <w:sz w:val="24"/>
          <w:szCs w:val="24"/>
        </w:rPr>
        <w:t>Экспериментальная установка Horizont-T [1] расположена на Тянь-Шаньской станции ФИАН и состоит из 13 регистрирующих пунктов, представляющих собой сцинтилляционные детекторы, позволяющие фиксировать частицы от ШАЛ (рис.1). Детекторная система расположена на высотах ~ 3300-3700 метров над уровнем моря.</w:t>
      </w:r>
    </w:p>
    <w:p>
      <w:pPr>
        <w:pStyle w:val="Normal"/>
        <w:spacing w:lineRule="exact" w:line="1" w:before="0" w:after="0"/>
        <w:jc w:val="left"/>
        <w:rPr>
          <w:color w:val="auto"/>
          <w:sz w:val="24"/>
          <w:szCs w:val="24"/>
        </w:rPr>
      </w:pPr>
      <w:r>
        <w:rPr>
          <w:color w:val="auto"/>
          <w:sz w:val="24"/>
          <w:szCs w:val="24"/>
        </w:rPr>
      </w:r>
    </w:p>
    <w:p>
      <w:pPr>
        <w:pStyle w:val="Normal"/>
        <w:spacing w:lineRule="auto" w:line="182" w:before="0" w:after="0"/>
        <w:ind w:left="120" w:right="100" w:hanging="0"/>
        <w:jc w:val="left"/>
        <w:rPr>
          <w:sz w:val="24"/>
          <w:szCs w:val="24"/>
        </w:rPr>
      </w:pPr>
      <w:r>
        <w:rPr>
          <w:rFonts w:eastAsia="Times New Roman" w:cs="Times New Roman"/>
          <w:color w:val="auto"/>
          <w:sz w:val="24"/>
          <w:szCs w:val="24"/>
        </w:rPr>
        <w:t>Большая площадь покрытия установки (~ 2</w:t>
      </w:r>
      <w:r>
        <w:rPr>
          <w:rFonts w:eastAsia="Cambria Math" w:cs="Cambria Math" w:ascii="Cambria Math" w:hAnsi="Cambria Math"/>
          <w:color w:val="auto"/>
          <w:sz w:val="24"/>
          <w:szCs w:val="24"/>
        </w:rPr>
        <w:t xml:space="preserve"> км</w:t>
      </w:r>
      <w:r>
        <w:rPr>
          <w:rFonts w:eastAsia="Cambria Math" w:cs="Cambria Math" w:ascii="Cambria Math" w:hAnsi="Cambria Math"/>
          <w:color w:val="auto"/>
          <w:sz w:val="24"/>
          <w:szCs w:val="24"/>
          <w:vertAlign w:val="superscript"/>
        </w:rPr>
        <w:t>2</w:t>
      </w:r>
      <w:r>
        <w:rPr>
          <w:rFonts w:eastAsia="Times New Roman" w:cs="Times New Roman"/>
          <w:color w:val="auto"/>
          <w:sz w:val="24"/>
          <w:szCs w:val="24"/>
        </w:rPr>
        <w:t>) обеспечивает возможность определения направления прихода ливней, и, в связи с этим, изначальной целью эксперимента Horizont-T было изучение именно сильно наклонных ливней.</w:t>
      </w:r>
    </w:p>
    <w:p>
      <w:pPr>
        <w:pStyle w:val="Normal"/>
        <w:spacing w:lineRule="exact" w:line="4" w:before="0" w:after="0"/>
        <w:jc w:val="left"/>
        <w:rPr>
          <w:color w:val="auto"/>
          <w:sz w:val="24"/>
          <w:szCs w:val="24"/>
        </w:rPr>
      </w:pPr>
      <w:r>
        <w:rPr>
          <w:color w:val="auto"/>
          <w:sz w:val="24"/>
          <w:szCs w:val="24"/>
        </w:rPr>
      </w:r>
    </w:p>
    <w:p>
      <w:pPr>
        <w:pStyle w:val="Normal"/>
        <w:spacing w:before="0" w:after="0"/>
        <w:ind w:left="120" w:right="100" w:firstLine="720"/>
        <w:jc w:val="left"/>
        <w:rPr>
          <w:sz w:val="24"/>
          <w:szCs w:val="24"/>
        </w:rPr>
      </w:pPr>
      <w:r>
        <w:rPr>
          <w:rFonts w:eastAsia="Times New Roman" w:cs="Times New Roman"/>
          <w:color w:val="auto"/>
          <w:sz w:val="24"/>
          <w:szCs w:val="24"/>
        </w:rPr>
        <w:t>В процессе работы были обнаружены ливневые события, представляющие собой многопиковые сигналы (временные развертки) в детекторах (рис. 2) - мультимодальные события (ММЕ) [2]. В качестве гипотезы, объясняющей такие события, было предположено, что MME могут быть результатом образования некоторого кваркового объекта при аннигиляции темной материи [2].</w:t>
      </w:r>
    </w:p>
    <w:p>
      <w:pPr>
        <w:pStyle w:val="Normal"/>
        <w:spacing w:lineRule="auto" w:line="240" w:before="0" w:after="0"/>
        <w:ind w:left="120" w:right="100" w:firstLine="720"/>
        <w:jc w:val="left"/>
        <w:rPr>
          <w:sz w:val="24"/>
          <w:szCs w:val="24"/>
        </w:rPr>
      </w:pPr>
      <w:r>
        <w:rPr>
          <w:rFonts w:eastAsia="Times New Roman" w:cs="Times New Roman"/>
          <w:color w:val="auto"/>
          <w:sz w:val="24"/>
          <w:szCs w:val="24"/>
        </w:rPr>
        <w:t>Была поставлена задача продемонстрировать возможность ММЕ без привлечения экзотических частиц и процессов, на основе данных моделирования с помощью кода Corsika с привлечением общеупотребительной модели ядерного взаимодействия (например, QGSJET). Было предположено, что во временные ворота детектора попадают несколько частиц, разнесенных во времени. Это объясняет возникновение сигналов при которых высвечивание сцинтилятора от одной частицы уже заметно затухло, и следующая частица вызывает новый пик. Данная гипотеза была успешно подтверждена при моделировании.</w:t>
      </w:r>
    </w:p>
    <w:p>
      <w:pPr>
        <w:pStyle w:val="Normal"/>
        <w:spacing w:lineRule="exact" w:line="20" w:before="0" w:after="0"/>
        <w:jc w:val="left"/>
        <w:rPr>
          <w:color w:val="auto"/>
          <w:sz w:val="24"/>
          <w:szCs w:val="24"/>
        </w:rPr>
      </w:pPr>
      <w:r>
        <w:rPr>
          <w:color w:val="auto"/>
          <w:sz w:val="24"/>
          <w:szCs w:val="24"/>
        </w:rPr>
        <w:drawing>
          <wp:anchor behindDoc="1" distT="0" distB="0" distL="0" distR="0" simplePos="0" locked="0" layoutInCell="1" allowOverlap="1" relativeHeight="4">
            <wp:simplePos x="0" y="0"/>
            <wp:positionH relativeFrom="column">
              <wp:posOffset>1570990</wp:posOffset>
            </wp:positionH>
            <wp:positionV relativeFrom="paragraph">
              <wp:posOffset>182245</wp:posOffset>
            </wp:positionV>
            <wp:extent cx="3171825" cy="1695450"/>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3"/>
                    <a:stretch>
                      <a:fillRect/>
                    </a:stretch>
                  </pic:blipFill>
                  <pic:spPr bwMode="auto">
                    <a:xfrm>
                      <a:off x="0" y="0"/>
                      <a:ext cx="3171825" cy="1695450"/>
                    </a:xfrm>
                    <a:prstGeom prst="rect">
                      <a:avLst/>
                    </a:prstGeom>
                  </pic:spPr>
                </pic:pic>
              </a:graphicData>
            </a:graphic>
          </wp:anchor>
        </w:drawing>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44" w:before="0" w:after="0"/>
        <w:jc w:val="left"/>
        <w:rPr>
          <w:color w:val="auto"/>
          <w:sz w:val="24"/>
          <w:szCs w:val="24"/>
        </w:rPr>
      </w:pPr>
      <w:r>
        <w:rPr>
          <w:color w:val="auto"/>
          <w:sz w:val="24"/>
          <w:szCs w:val="24"/>
        </w:rPr>
      </w:r>
    </w:p>
    <w:p>
      <w:pPr>
        <w:pStyle w:val="Normal"/>
        <w:spacing w:before="0" w:after="0"/>
        <w:ind w:left="500" w:hanging="0"/>
        <w:jc w:val="left"/>
        <w:rPr>
          <w:sz w:val="24"/>
          <w:szCs w:val="24"/>
        </w:rPr>
      </w:pPr>
      <w:r>
        <w:rPr>
          <w:rFonts w:eastAsia="Times New Roman" w:cs="Times New Roman"/>
          <w:b/>
          <w:bCs/>
          <w:i/>
          <w:iCs/>
          <w:color w:val="auto"/>
          <w:sz w:val="24"/>
          <w:szCs w:val="24"/>
        </w:rPr>
        <w:t>Рис. 1.</w:t>
      </w:r>
      <w:r>
        <w:rPr>
          <w:rFonts w:eastAsia="Times New Roman" w:cs="Times New Roman"/>
          <w:color w:val="auto"/>
          <w:sz w:val="24"/>
          <w:szCs w:val="24"/>
        </w:rPr>
        <w:t xml:space="preserve"> Установка Горизонт-Т: 13 пунктов регистрации, высота над уровнем моря - 3350 м.</w:t>
      </w:r>
    </w:p>
    <w:p>
      <w:pPr>
        <w:pStyle w:val="Normal"/>
        <w:spacing w:lineRule="exact" w:line="258" w:before="0" w:after="0"/>
        <w:jc w:val="left"/>
        <w:rPr>
          <w:color w:val="auto"/>
          <w:sz w:val="24"/>
          <w:szCs w:val="24"/>
        </w:rPr>
      </w:pPr>
      <w:r>
        <w:rPr>
          <w:color w:val="auto"/>
          <w:sz w:val="24"/>
          <w:szCs w:val="24"/>
        </w:rPr>
      </w:r>
    </w:p>
    <w:p>
      <w:pPr>
        <w:pStyle w:val="Normal"/>
        <w:spacing w:lineRule="auto" w:line="240" w:before="0" w:after="0"/>
        <w:ind w:left="120" w:firstLine="705"/>
        <w:jc w:val="left"/>
        <w:rPr>
          <w:sz w:val="24"/>
          <w:szCs w:val="24"/>
        </w:rPr>
      </w:pPr>
      <w:r>
        <w:rPr>
          <w:rFonts w:eastAsia="Times New Roman" w:cs="Times New Roman"/>
          <w:color w:val="auto"/>
          <w:sz w:val="24"/>
          <w:szCs w:val="24"/>
        </w:rPr>
        <w:t>При моделировании учитывалось, что размер сцинтиллятора в каждом пункте - 1х1 метр, толщина - 5 см. Так же существует калибровочная система, представляющая собой два сцинтиллятора, диаметром 10 см и толщиной 5 см, расположенные сверху и снизу от основного сцинтилляционного блока, на расстоянии ~ 30 см от центра детектора. Такое расположение сцинтилляторов позволяет осуществить схему совпадений и получать отклик от частиц, прошедших практически под прямым углом через детектор. Это позволит определить одночастичный спектр энерговыделений.</w:t>
      </w:r>
    </w:p>
    <w:p>
      <w:pPr>
        <w:pStyle w:val="Normal"/>
        <w:spacing w:lineRule="exact" w:line="2" w:before="0" w:after="0"/>
        <w:jc w:val="left"/>
        <w:rPr>
          <w:color w:val="auto"/>
          <w:sz w:val="24"/>
          <w:szCs w:val="24"/>
        </w:rPr>
      </w:pPr>
      <w:r>
        <w:rPr>
          <w:color w:val="auto"/>
          <w:sz w:val="24"/>
          <w:szCs w:val="24"/>
        </w:rPr>
      </w:r>
    </w:p>
    <w:p>
      <w:pPr>
        <w:pStyle w:val="Normal"/>
        <w:numPr>
          <w:ilvl w:val="0"/>
          <w:numId w:val="1"/>
        </w:numPr>
        <w:tabs>
          <w:tab w:val="clear" w:pos="720"/>
          <w:tab w:val="left" w:pos="1165" w:leader="none"/>
        </w:tabs>
        <w:spacing w:lineRule="auto" w:line="247" w:before="0" w:after="0"/>
        <w:jc w:val="left"/>
        <w:rPr>
          <w:sz w:val="24"/>
          <w:szCs w:val="24"/>
        </w:rPr>
      </w:pPr>
      <w:r>
        <w:rPr>
          <w:rFonts w:eastAsia="Times New Roman" w:cs="Times New Roman"/>
          <w:color w:val="auto"/>
          <w:sz w:val="24"/>
          <w:szCs w:val="24"/>
        </w:rPr>
        <w:t>результате моделирования с использованием программных комплексов Сorsika [3] и Geant4 [4], были получены временные развертки сигналов для ливней с энергиями</w:t>
      </w:r>
      <w:r>
        <w:rPr>
          <w:rFonts w:eastAsia="Cambria Math" w:cs="Cambria Math" w:ascii="Cambria Math" w:hAnsi="Cambria Math"/>
          <w:color w:val="auto"/>
          <w:sz w:val="24"/>
          <w:szCs w:val="24"/>
        </w:rPr>
        <w:t xml:space="preserve"> 10 </w:t>
      </w:r>
      <w:r>
        <w:rPr>
          <w:rFonts w:eastAsia="Cambria Math" w:cs="Cambria Math" w:ascii="Cambria Math" w:hAnsi="Cambria Math"/>
          <w:color w:val="auto"/>
          <w:sz w:val="24"/>
          <w:szCs w:val="24"/>
          <w:vertAlign w:val="superscript"/>
        </w:rPr>
        <w:t>16</w:t>
      </w:r>
      <w:r>
        <w:rPr>
          <w:rFonts w:eastAsia="Times New Roman" w:cs="Times New Roman"/>
          <w:color w:val="auto"/>
          <w:sz w:val="24"/>
          <w:szCs w:val="24"/>
        </w:rPr>
        <w:t xml:space="preserve"> -</w:t>
      </w:r>
      <w:r>
        <w:rPr>
          <w:rFonts w:eastAsia="Cambria Math" w:cs="Cambria Math" w:ascii="Cambria Math" w:hAnsi="Cambria Math"/>
          <w:color w:val="auto"/>
          <w:sz w:val="24"/>
          <w:szCs w:val="24"/>
        </w:rPr>
        <w:t xml:space="preserve"> 10 </w:t>
      </w:r>
      <w:r>
        <w:rPr>
          <w:rFonts w:eastAsia="Cambria Math" w:cs="Cambria Math" w:ascii="Cambria Math" w:hAnsi="Cambria Math"/>
          <w:color w:val="auto"/>
          <w:sz w:val="24"/>
          <w:szCs w:val="24"/>
          <w:vertAlign w:val="superscript"/>
        </w:rPr>
        <w:t>18</w:t>
      </w:r>
      <w:r>
        <w:rPr>
          <w:rFonts w:eastAsia="Times New Roman" w:cs="Times New Roman"/>
          <w:color w:val="auto"/>
          <w:sz w:val="24"/>
          <w:szCs w:val="24"/>
        </w:rPr>
        <w:t>эВ с различными углами наклона.</w:t>
      </w:r>
    </w:p>
    <w:p>
      <w:pPr>
        <w:pStyle w:val="Normal"/>
        <w:spacing w:lineRule="exact" w:line="1" w:before="0" w:after="0"/>
        <w:jc w:val="left"/>
        <w:rPr>
          <w:color w:val="auto"/>
          <w:sz w:val="24"/>
          <w:szCs w:val="24"/>
        </w:rPr>
      </w:pPr>
      <w:r>
        <w:rPr>
          <w:color w:val="auto"/>
          <w:sz w:val="24"/>
          <w:szCs w:val="24"/>
        </w:rPr>
      </w:r>
    </w:p>
    <w:p>
      <w:pPr>
        <w:sectPr>
          <w:type w:val="nextPage"/>
          <w:pgSz w:w="11920" w:h="16838"/>
          <w:pgMar w:left="1440" w:right="1280" w:header="0" w:top="1112" w:footer="0" w:bottom="702" w:gutter="0"/>
          <w:pgNumType w:fmt="decimal"/>
          <w:formProt w:val="false"/>
          <w:textDirection w:val="lrTb"/>
          <w:docGrid w:type="default" w:linePitch="100" w:charSpace="4096"/>
        </w:sectPr>
        <w:pStyle w:val="Normal"/>
        <w:spacing w:lineRule="auto" w:line="247" w:before="0" w:after="0"/>
        <w:ind w:left="120" w:right="180" w:firstLine="870"/>
        <w:jc w:val="left"/>
        <w:rPr>
          <w:sz w:val="24"/>
          <w:szCs w:val="24"/>
        </w:rPr>
      </w:pPr>
      <w:r>
        <w:rPr>
          <w:rFonts w:eastAsia="Times New Roman" w:cs="Times New Roman"/>
          <w:color w:val="auto"/>
          <w:sz w:val="24"/>
          <w:szCs w:val="24"/>
        </w:rPr>
        <w:t>На рис.3 приведены примеры смоделированных откликов в нескольких детекторных пунктах при развитии одного из ливней, представляющие собой ММЕ,</w:t>
      </w:r>
      <w:bookmarkStart w:id="1" w:name="page2"/>
      <w:bookmarkEnd w:id="1"/>
    </w:p>
    <w:p>
      <w:pPr>
        <w:pStyle w:val="Normal"/>
        <w:spacing w:lineRule="auto" w:line="247" w:before="0" w:after="0"/>
        <w:ind w:left="160" w:hanging="0"/>
        <w:jc w:val="left"/>
        <w:rPr>
          <w:sz w:val="24"/>
          <w:szCs w:val="24"/>
        </w:rPr>
      </w:pPr>
      <w:r>
        <w:rPr>
          <w:rFonts w:eastAsia="Times New Roman" w:cs="Times New Roman"/>
          <w:color w:val="auto"/>
          <w:sz w:val="24"/>
          <w:szCs w:val="24"/>
        </w:rPr>
        <w:t>подобные экспериментальным. Следовательно, предварительно можно утверждать, что в результате моделирования без привлечения экзотических моделей ядерного взаимодействия была подтверждена гипотеза об объяснении ММЕ, как событий с регистрацией нескольких частиц в одних временных воротах детектора.</w:t>
      </w:r>
    </w:p>
    <w:p>
      <w:pPr>
        <w:pStyle w:val="Normal"/>
        <w:spacing w:lineRule="exact" w:line="20" w:before="0" w:after="0"/>
        <w:jc w:val="left"/>
        <w:rPr>
          <w:color w:val="auto"/>
          <w:sz w:val="24"/>
          <w:szCs w:val="24"/>
        </w:rPr>
      </w:pPr>
      <w:r>
        <w:rPr>
          <w:color w:val="auto"/>
          <w:sz w:val="24"/>
          <w:szCs w:val="24"/>
        </w:rPr>
        <w:drawing>
          <wp:anchor behindDoc="1" distT="0" distB="0" distL="0" distR="0" simplePos="0" locked="0" layoutInCell="1" allowOverlap="1" relativeHeight="3">
            <wp:simplePos x="0" y="0"/>
            <wp:positionH relativeFrom="column">
              <wp:posOffset>801370</wp:posOffset>
            </wp:positionH>
            <wp:positionV relativeFrom="paragraph">
              <wp:posOffset>635</wp:posOffset>
            </wp:positionV>
            <wp:extent cx="4133850" cy="2295525"/>
            <wp:effectExtent l="0" t="0" r="0" b="0"/>
            <wp:wrapNone/>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4"/>
                    <a:stretch>
                      <a:fillRect/>
                    </a:stretch>
                  </pic:blipFill>
                  <pic:spPr bwMode="auto">
                    <a:xfrm>
                      <a:off x="0" y="0"/>
                      <a:ext cx="4133850" cy="2295525"/>
                    </a:xfrm>
                    <a:prstGeom prst="rect">
                      <a:avLst/>
                    </a:prstGeom>
                  </pic:spPr>
                </pic:pic>
              </a:graphicData>
            </a:graphic>
          </wp:anchor>
        </w:drawing>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70" w:before="0" w:after="0"/>
        <w:jc w:val="left"/>
        <w:rPr>
          <w:color w:val="auto"/>
          <w:sz w:val="24"/>
          <w:szCs w:val="24"/>
        </w:rPr>
      </w:pPr>
      <w:r>
        <w:rPr>
          <w:color w:val="auto"/>
          <w:sz w:val="24"/>
          <w:szCs w:val="24"/>
        </w:rPr>
      </w:r>
    </w:p>
    <w:p>
      <w:pPr>
        <w:pStyle w:val="Normal"/>
        <w:spacing w:before="0" w:after="0"/>
        <w:jc w:val="left"/>
        <w:rPr>
          <w:sz w:val="24"/>
          <w:szCs w:val="24"/>
        </w:rPr>
      </w:pPr>
      <w:r>
        <w:rPr>
          <w:rFonts w:eastAsia="Times New Roman" w:cs="Times New Roman"/>
          <w:b/>
          <w:bCs/>
          <w:i/>
          <w:iCs/>
          <w:color w:val="auto"/>
          <w:sz w:val="24"/>
          <w:szCs w:val="24"/>
        </w:rPr>
        <w:t>Рис. 2.</w:t>
      </w:r>
      <w:r>
        <w:rPr>
          <w:rFonts w:eastAsia="Times New Roman" w:cs="Times New Roman"/>
          <w:color w:val="auto"/>
          <w:sz w:val="24"/>
          <w:szCs w:val="24"/>
        </w:rPr>
        <w:t xml:space="preserve"> Мультимодальные события, зарегистрированные на установке Горизонт-Т.</w:t>
      </w:r>
    </w:p>
    <w:p>
      <w:pPr>
        <w:pStyle w:val="Normal"/>
        <w:spacing w:lineRule="exact" w:line="20" w:before="0" w:after="0"/>
        <w:jc w:val="left"/>
        <w:rPr>
          <w:color w:val="auto"/>
          <w:sz w:val="24"/>
          <w:szCs w:val="24"/>
        </w:rPr>
      </w:pPr>
      <w:r>
        <w:rPr>
          <w:color w:val="auto"/>
          <w:sz w:val="24"/>
          <w:szCs w:val="24"/>
        </w:rPr>
        <w:drawing>
          <wp:anchor behindDoc="1" distT="0" distB="0" distL="0" distR="0" simplePos="0" locked="0" layoutInCell="1" allowOverlap="1" relativeHeight="2">
            <wp:simplePos x="0" y="0"/>
            <wp:positionH relativeFrom="column">
              <wp:posOffset>1167765</wp:posOffset>
            </wp:positionH>
            <wp:positionV relativeFrom="paragraph">
              <wp:posOffset>542290</wp:posOffset>
            </wp:positionV>
            <wp:extent cx="3838575" cy="2952750"/>
            <wp:effectExtent l="0" t="0" r="0" b="0"/>
            <wp:wrapNone/>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5"/>
                    <a:stretch>
                      <a:fillRect/>
                    </a:stretch>
                  </pic:blipFill>
                  <pic:spPr bwMode="auto">
                    <a:xfrm>
                      <a:off x="0" y="0"/>
                      <a:ext cx="3838575" cy="2952750"/>
                    </a:xfrm>
                    <a:prstGeom prst="rect">
                      <a:avLst/>
                    </a:prstGeom>
                  </pic:spPr>
                </pic:pic>
              </a:graphicData>
            </a:graphic>
          </wp:anchor>
        </w:drawing>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200" w:before="0" w:after="0"/>
        <w:jc w:val="left"/>
        <w:rPr>
          <w:color w:val="auto"/>
          <w:sz w:val="24"/>
          <w:szCs w:val="24"/>
        </w:rPr>
      </w:pPr>
      <w:r>
        <w:rPr>
          <w:color w:val="auto"/>
          <w:sz w:val="24"/>
          <w:szCs w:val="24"/>
        </w:rPr>
      </w:r>
    </w:p>
    <w:p>
      <w:pPr>
        <w:pStyle w:val="Normal"/>
        <w:spacing w:lineRule="exact" w:line="316" w:before="0" w:after="0"/>
        <w:jc w:val="left"/>
        <w:rPr>
          <w:color w:val="auto"/>
          <w:sz w:val="24"/>
          <w:szCs w:val="24"/>
        </w:rPr>
      </w:pPr>
      <w:r>
        <w:rPr>
          <w:color w:val="auto"/>
          <w:sz w:val="24"/>
          <w:szCs w:val="24"/>
        </w:rPr>
      </w:r>
    </w:p>
    <w:p>
      <w:pPr>
        <w:pStyle w:val="Normal"/>
        <w:spacing w:before="0" w:after="0"/>
        <w:ind w:left="580" w:hanging="0"/>
        <w:jc w:val="left"/>
        <w:rPr>
          <w:sz w:val="24"/>
          <w:szCs w:val="24"/>
        </w:rPr>
      </w:pPr>
      <w:r>
        <w:rPr>
          <w:rFonts w:eastAsia="Times New Roman" w:cs="Times New Roman"/>
          <w:b/>
          <w:bCs/>
          <w:i/>
          <w:iCs/>
          <w:color w:val="auto"/>
          <w:sz w:val="24"/>
          <w:szCs w:val="24"/>
        </w:rPr>
        <w:t>Рис. 3.</w:t>
      </w:r>
      <w:r>
        <w:rPr>
          <w:rFonts w:eastAsia="Times New Roman" w:cs="Times New Roman"/>
          <w:color w:val="auto"/>
          <w:sz w:val="24"/>
          <w:szCs w:val="24"/>
        </w:rPr>
        <w:t xml:space="preserve"> Мультимодальные события, полученные с помощью кода Corsika..</w:t>
      </w:r>
    </w:p>
    <w:p>
      <w:pPr>
        <w:pStyle w:val="Normal"/>
        <w:spacing w:lineRule="exact" w:line="275" w:before="0" w:after="0"/>
        <w:jc w:val="left"/>
        <w:rPr>
          <w:color w:val="auto"/>
          <w:sz w:val="24"/>
          <w:szCs w:val="24"/>
        </w:rPr>
      </w:pPr>
      <w:r>
        <w:rPr>
          <w:color w:val="auto"/>
          <w:sz w:val="24"/>
          <w:szCs w:val="24"/>
        </w:rPr>
      </w:r>
    </w:p>
    <w:p>
      <w:pPr>
        <w:pStyle w:val="Normal"/>
        <w:spacing w:before="0" w:after="0"/>
        <w:ind w:right="160" w:hanging="0"/>
        <w:jc w:val="left"/>
        <w:rPr>
          <w:sz w:val="24"/>
          <w:szCs w:val="24"/>
        </w:rPr>
      </w:pPr>
      <w:r>
        <w:rPr>
          <w:rFonts w:eastAsia="Times New Roman" w:cs="Times New Roman"/>
          <w:b/>
          <w:bCs/>
          <w:color w:val="auto"/>
          <w:sz w:val="24"/>
          <w:szCs w:val="24"/>
        </w:rPr>
        <w:t>Литература</w:t>
      </w:r>
    </w:p>
    <w:p>
      <w:pPr>
        <w:pStyle w:val="Normal"/>
        <w:spacing w:lineRule="exact" w:line="24" w:before="0" w:after="0"/>
        <w:jc w:val="left"/>
        <w:rPr>
          <w:color w:val="auto"/>
          <w:sz w:val="24"/>
          <w:szCs w:val="24"/>
        </w:rPr>
      </w:pPr>
      <w:r>
        <w:rPr>
          <w:color w:val="auto"/>
          <w:sz w:val="24"/>
          <w:szCs w:val="24"/>
        </w:rPr>
      </w:r>
    </w:p>
    <w:p>
      <w:pPr>
        <w:pStyle w:val="Normal"/>
        <w:numPr>
          <w:ilvl w:val="0"/>
          <w:numId w:val="2"/>
        </w:numPr>
        <w:tabs>
          <w:tab w:val="clear" w:pos="720"/>
          <w:tab w:val="left" w:pos="1080" w:leader="none"/>
        </w:tabs>
        <w:spacing w:lineRule="auto" w:line="235" w:before="0" w:after="0"/>
        <w:jc w:val="left"/>
        <w:rPr/>
      </w:pPr>
      <w:r>
        <w:rPr>
          <w:rFonts w:eastAsia="Times New Roman" w:cs="Times New Roman"/>
          <w:color w:val="auto"/>
          <w:sz w:val="24"/>
          <w:szCs w:val="24"/>
        </w:rPr>
        <w:t xml:space="preserve">The “Horizon-T” Experiment: Extensive Air Showers Detection. </w:t>
      </w:r>
      <w:hyperlink r:id="rId6">
        <w:r>
          <w:rPr>
            <w:rFonts w:eastAsia="Times New Roman" w:cs="Times New Roman"/>
            <w:color w:val="auto"/>
            <w:sz w:val="24"/>
            <w:szCs w:val="24"/>
          </w:rPr>
          <w:t xml:space="preserve">R.U. Beisembaev, </w:t>
        </w:r>
      </w:hyperlink>
      <w:hyperlink r:id="rId7">
        <w:r>
          <w:rPr>
            <w:rFonts w:eastAsia="Times New Roman" w:cs="Times New Roman"/>
            <w:color w:val="auto"/>
            <w:sz w:val="24"/>
            <w:szCs w:val="24"/>
          </w:rPr>
          <w:t xml:space="preserve">E.A. Beisembaeva, </w:t>
        </w:r>
      </w:hyperlink>
      <w:hyperlink r:id="rId8">
        <w:r>
          <w:rPr>
            <w:rFonts w:eastAsia="Times New Roman" w:cs="Times New Roman"/>
            <w:color w:val="auto"/>
            <w:sz w:val="24"/>
            <w:szCs w:val="24"/>
          </w:rPr>
          <w:t>O.D.</w:t>
        </w:r>
      </w:hyperlink>
      <w:r>
        <w:rPr>
          <w:rFonts w:eastAsia="Times New Roman" w:cs="Times New Roman"/>
          <w:color w:val="auto"/>
          <w:sz w:val="24"/>
          <w:szCs w:val="24"/>
        </w:rPr>
        <w:t xml:space="preserve"> </w:t>
      </w:r>
      <w:hyperlink r:id="rId9">
        <w:r>
          <w:rPr>
            <w:rFonts w:eastAsia="Times New Roman" w:cs="Times New Roman"/>
            <w:color w:val="auto"/>
            <w:sz w:val="24"/>
            <w:szCs w:val="24"/>
          </w:rPr>
          <w:t xml:space="preserve">Dalkarov, </w:t>
        </w:r>
      </w:hyperlink>
      <w:hyperlink r:id="rId10">
        <w:r>
          <w:rPr>
            <w:rFonts w:eastAsia="Times New Roman" w:cs="Times New Roman"/>
            <w:color w:val="auto"/>
            <w:sz w:val="24"/>
            <w:szCs w:val="24"/>
          </w:rPr>
          <w:t xml:space="preserve">V.A. Ryabov, </w:t>
        </w:r>
      </w:hyperlink>
      <w:hyperlink r:id="rId11">
        <w:r>
          <w:rPr>
            <w:rFonts w:eastAsia="Times New Roman" w:cs="Times New Roman"/>
            <w:color w:val="auto"/>
            <w:sz w:val="24"/>
            <w:szCs w:val="24"/>
          </w:rPr>
          <w:t xml:space="preserve">A.V. Stepanov, </w:t>
        </w:r>
      </w:hyperlink>
      <w:hyperlink r:id="rId12">
        <w:r>
          <w:rPr>
            <w:rFonts w:eastAsia="Times New Roman" w:cs="Times New Roman"/>
            <w:color w:val="auto"/>
            <w:sz w:val="24"/>
            <w:szCs w:val="24"/>
          </w:rPr>
          <w:t xml:space="preserve">N.G. Vildanov, </w:t>
        </w:r>
      </w:hyperlink>
      <w:hyperlink r:id="rId13">
        <w:r>
          <w:rPr>
            <w:rFonts w:eastAsia="Times New Roman" w:cs="Times New Roman"/>
            <w:color w:val="auto"/>
            <w:sz w:val="24"/>
            <w:szCs w:val="24"/>
          </w:rPr>
          <w:t xml:space="preserve">M.I. Vildanova, </w:t>
        </w:r>
      </w:hyperlink>
      <w:hyperlink r:id="rId14">
        <w:r>
          <w:rPr>
            <w:rFonts w:eastAsia="Times New Roman" w:cs="Times New Roman"/>
            <w:color w:val="auto"/>
            <w:sz w:val="24"/>
            <w:szCs w:val="24"/>
          </w:rPr>
          <w:t xml:space="preserve">V.V. Zhukov, </w:t>
        </w:r>
      </w:hyperlink>
      <w:hyperlink r:id="rId15">
        <w:r>
          <w:rPr>
            <w:rFonts w:eastAsia="Times New Roman" w:cs="Times New Roman"/>
            <w:color w:val="auto"/>
            <w:sz w:val="24"/>
            <w:szCs w:val="24"/>
          </w:rPr>
          <w:t xml:space="preserve">K.A. Baigarin, </w:t>
        </w:r>
      </w:hyperlink>
      <w:hyperlink r:id="rId16">
        <w:r>
          <w:rPr>
            <w:rFonts w:eastAsia="Times New Roman" w:cs="Times New Roman"/>
            <w:color w:val="auto"/>
            <w:sz w:val="24"/>
            <w:szCs w:val="24"/>
          </w:rPr>
          <w:t>D.</w:t>
        </w:r>
      </w:hyperlink>
      <w:r>
        <w:rPr>
          <w:rFonts w:eastAsia="Times New Roman" w:cs="Times New Roman"/>
          <w:color w:val="auto"/>
          <w:sz w:val="24"/>
          <w:szCs w:val="24"/>
        </w:rPr>
        <w:t xml:space="preserve"> </w:t>
      </w:r>
      <w:hyperlink r:id="rId17">
        <w:r>
          <w:rPr>
            <w:rFonts w:eastAsia="Times New Roman" w:cs="Times New Roman"/>
            <w:color w:val="auto"/>
            <w:sz w:val="24"/>
            <w:szCs w:val="24"/>
          </w:rPr>
          <w:t xml:space="preserve">Beznosko, </w:t>
        </w:r>
      </w:hyperlink>
      <w:hyperlink r:id="rId18">
        <w:r>
          <w:rPr>
            <w:rFonts w:eastAsia="Times New Roman" w:cs="Times New Roman"/>
            <w:color w:val="auto"/>
            <w:sz w:val="24"/>
            <w:szCs w:val="24"/>
          </w:rPr>
          <w:t xml:space="preserve">T.X. Sadykov, </w:t>
        </w:r>
      </w:hyperlink>
      <w:hyperlink r:id="rId19">
        <w:r>
          <w:rPr>
            <w:rFonts w:eastAsia="Times New Roman" w:cs="Times New Roman"/>
            <w:color w:val="auto"/>
            <w:sz w:val="24"/>
            <w:szCs w:val="24"/>
          </w:rPr>
          <w:t xml:space="preserve">N.S Suleymenov. </w:t>
        </w:r>
      </w:hyperlink>
      <w:r>
        <w:rPr>
          <w:rFonts w:eastAsia="Times New Roman" w:cs="Times New Roman"/>
          <w:color w:val="auto"/>
          <w:sz w:val="24"/>
          <w:szCs w:val="24"/>
        </w:rPr>
        <w:t>arXiv:physics.ins-det/1605.05179</w:t>
      </w:r>
    </w:p>
    <w:p>
      <w:pPr>
        <w:pStyle w:val="Normal"/>
        <w:spacing w:lineRule="exact" w:line="2" w:before="0" w:after="0"/>
        <w:jc w:val="left"/>
        <w:rPr>
          <w:rFonts w:ascii="Times New Roman" w:hAnsi="Times New Roman" w:eastAsia="Times New Roman" w:cs="Times New Roman"/>
          <w:color w:val="auto"/>
          <w:sz w:val="24"/>
          <w:szCs w:val="24"/>
        </w:rPr>
      </w:pPr>
      <w:r>
        <w:rPr>
          <w:rFonts w:eastAsia="Times New Roman" w:cs="Times New Roman"/>
          <w:color w:val="auto"/>
          <w:sz w:val="24"/>
          <w:szCs w:val="24"/>
        </w:rPr>
      </w:r>
    </w:p>
    <w:p>
      <w:pPr>
        <w:pStyle w:val="Normal"/>
        <w:numPr>
          <w:ilvl w:val="0"/>
          <w:numId w:val="2"/>
        </w:numPr>
        <w:tabs>
          <w:tab w:val="clear" w:pos="720"/>
          <w:tab w:val="left" w:pos="1080" w:leader="none"/>
        </w:tabs>
        <w:spacing w:lineRule="auto" w:line="252" w:before="0" w:after="0"/>
        <w:jc w:val="left"/>
        <w:rPr>
          <w:sz w:val="24"/>
          <w:szCs w:val="24"/>
        </w:rPr>
      </w:pPr>
      <w:r>
        <w:rPr>
          <w:rFonts w:eastAsia="Times New Roman" w:cs="Times New Roman"/>
          <w:color w:val="auto"/>
          <w:sz w:val="24"/>
          <w:szCs w:val="24"/>
        </w:rPr>
        <w:t>Probing Fundamental Physics With Multi-Modal Cosmic Ray Events. D.Beznosko,K.Baigarin,R.Beisembaev,E.Beisembaeva,E.Gladysz-Dziadu,V.Ryabov,T.Sadykov,S.Shaulov, V.Siltsev,A.Stepanov,M.Vildanova,A.Zhitnitsky,V.Zhukov. arXiv:2204.04045v4</w:t>
      </w:r>
    </w:p>
    <w:p>
      <w:pPr>
        <w:pStyle w:val="Normal"/>
        <w:numPr>
          <w:ilvl w:val="0"/>
          <w:numId w:val="2"/>
        </w:numPr>
        <w:tabs>
          <w:tab w:val="clear" w:pos="720"/>
          <w:tab w:val="left" w:pos="1080" w:leader="none"/>
        </w:tabs>
        <w:spacing w:before="0" w:after="0"/>
        <w:jc w:val="left"/>
        <w:rPr>
          <w:sz w:val="24"/>
          <w:szCs w:val="24"/>
        </w:rPr>
      </w:pPr>
      <w:r>
        <w:rPr>
          <w:rFonts w:eastAsia="Times New Roman" w:cs="Times New Roman"/>
          <w:color w:val="auto"/>
          <w:sz w:val="24"/>
          <w:szCs w:val="24"/>
        </w:rPr>
        <w:t>Extensive Air Shower Simulation with CORSIKA: A User’s Guide. D. Heck and T. Pierog.</w:t>
      </w:r>
    </w:p>
    <w:p>
      <w:pPr>
        <w:pStyle w:val="Normal"/>
        <w:numPr>
          <w:ilvl w:val="0"/>
          <w:numId w:val="2"/>
        </w:numPr>
        <w:tabs>
          <w:tab w:val="clear" w:pos="720"/>
          <w:tab w:val="left" w:pos="1080" w:leader="none"/>
        </w:tabs>
        <w:spacing w:before="0" w:after="0"/>
        <w:jc w:val="left"/>
        <w:rPr>
          <w:sz w:val="24"/>
          <w:szCs w:val="24"/>
        </w:rPr>
      </w:pPr>
      <w:r>
        <w:rPr>
          <w:rFonts w:eastAsia="Times New Roman" w:cs="Times New Roman"/>
          <w:color w:val="auto"/>
          <w:sz w:val="24"/>
          <w:szCs w:val="24"/>
        </w:rPr>
        <w:t>GEANT4,  https://geant4.web.cern.ch/</w:t>
      </w:r>
    </w:p>
    <w:sectPr>
      <w:type w:val="nextPage"/>
      <w:pgSz w:w="11920" w:h="16838"/>
      <w:pgMar w:left="1400" w:right="1440" w:header="0" w:top="1118"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mbria Math">
    <w:charset w:val="01"/>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В"/>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Lohit Devanagari" w:eastAsiaTheme="minorEastAsia"/>
        <w:szCs w:val="22"/>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 w:cs="Lohit Devanagari" w:eastAsiaTheme="minorEastAsia"/>
      <w:color w:val="auto"/>
      <w:kern w:val="0"/>
      <w:sz w:val="22"/>
      <w:szCs w:val="22"/>
      <w:lang w:val="ru-RU" w:eastAsia="zh-CN" w:bidi="hi-IN"/>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uliaeva.vv19@physics.msu.ru"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hyperlink" Target="https://arxiv.org/search/physics?searchtype=author&amp;query=Beisembaev,+R" TargetMode="External"/><Relationship Id="rId7" Type="http://schemas.openxmlformats.org/officeDocument/2006/relationships/hyperlink" Target="https://arxiv.org/search/physics?searchtype=author&amp;query=Beisembaeva,+E" TargetMode="External"/><Relationship Id="rId8" Type="http://schemas.openxmlformats.org/officeDocument/2006/relationships/hyperlink" Target="https://arxiv.org/search/physics?searchtype=author&amp;query=Dalkarov,+O" TargetMode="External"/><Relationship Id="rId9" Type="http://schemas.openxmlformats.org/officeDocument/2006/relationships/hyperlink" Target="https://arxiv.org/search/physics?searchtype=author&amp;query=Dalkarov,+O" TargetMode="External"/><Relationship Id="rId10" Type="http://schemas.openxmlformats.org/officeDocument/2006/relationships/hyperlink" Target="https://arxiv.org/search/physics?searchtype=author&amp;query=Ryabov,+V" TargetMode="External"/><Relationship Id="rId11" Type="http://schemas.openxmlformats.org/officeDocument/2006/relationships/hyperlink" Target="https://arxiv.org/search/physics?searchtype=author&amp;query=Stepanov,+A" TargetMode="External"/><Relationship Id="rId12" Type="http://schemas.openxmlformats.org/officeDocument/2006/relationships/hyperlink" Target="https://arxiv.org/search/physics?searchtype=author&amp;query=Vildanov,+N" TargetMode="External"/><Relationship Id="rId13" Type="http://schemas.openxmlformats.org/officeDocument/2006/relationships/hyperlink" Target="https://arxiv.org/search/physics?searchtype=author&amp;query=Vildanova,+M" TargetMode="External"/><Relationship Id="rId14" Type="http://schemas.openxmlformats.org/officeDocument/2006/relationships/hyperlink" Target="https://arxiv.org/search/physics?searchtype=author&amp;query=Zhukov,+V" TargetMode="External"/><Relationship Id="rId15" Type="http://schemas.openxmlformats.org/officeDocument/2006/relationships/hyperlink" Target="https://arxiv.org/search/physics?searchtype=author&amp;query=Baigarin,+K" TargetMode="External"/><Relationship Id="rId16" Type="http://schemas.openxmlformats.org/officeDocument/2006/relationships/hyperlink" Target="https://arxiv.org/search/physics?searchtype=author&amp;query=Beznosko,+D" TargetMode="External"/><Relationship Id="rId17" Type="http://schemas.openxmlformats.org/officeDocument/2006/relationships/hyperlink" Target="https://arxiv.org/search/physics?searchtype=author&amp;query=Beznosko,+D" TargetMode="External"/><Relationship Id="rId18" Type="http://schemas.openxmlformats.org/officeDocument/2006/relationships/hyperlink" Target="https://arxiv.org/search/physics?searchtype=author&amp;query=Sadykov,+T" TargetMode="External"/><Relationship Id="rId19" Type="http://schemas.openxmlformats.org/officeDocument/2006/relationships/hyperlink" Target="https://arxiv.org/search/physics?searchtype=author&amp;query=Suleymenov,+N" TargetMode="Externa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LibreOffice/6.4.7.2$Linux_X86_64 LibreOffice_project/40$Build-2</Application>
  <Pages>3</Pages>
  <Words>450</Words>
  <Characters>3310</Characters>
  <CharactersWithSpaces>3745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2024-02-28T17:08:42Z</dcterms:created>
  <dc:creator>Windows User</dc:creator>
  <dc:description/>
  <dc:language>ru-RU</dc:language>
  <cp:lastModifiedBy/>
  <dcterms:modified xsi:type="dcterms:W3CDTF">2024-02-28T19:13:03Z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