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240"/>
        <w:ind w:firstLine="420" w:left="0"/>
        <w:jc w:val="center"/>
        <w:rPr>
          <w:b w:val="1"/>
          <w:highlight w:val="white"/>
        </w:rPr>
      </w:pPr>
      <w:r>
        <w:rPr>
          <w:b w:val="1"/>
          <w:highlight w:val="white"/>
        </w:rPr>
        <w:t>Гамма-кванты высоких энергий от Троянцев Нептуна</w:t>
      </w:r>
    </w:p>
    <w:p w14:paraId="02000000">
      <w:pPr>
        <w:spacing w:before="240"/>
        <w:ind w:firstLine="420" w:left="0"/>
        <w:jc w:val="center"/>
        <w:rPr>
          <w:rFonts w:ascii="Times New Roman" w:hAnsi="Times New Roman"/>
          <w:b w:val="1"/>
          <w:sz w:val="24"/>
          <w:highlight w:val="white"/>
          <w:vertAlign w:val="superscript"/>
        </w:rPr>
      </w:pPr>
      <w:r>
        <w:rPr>
          <w:rFonts w:ascii="Times New Roman" w:hAnsi="Times New Roman"/>
          <w:b w:val="1"/>
          <w:i w:val="1"/>
          <w:sz w:val="24"/>
          <w:highlight w:val="white"/>
        </w:rPr>
        <w:t>Семенов А. А.</w:t>
      </w:r>
      <w:r>
        <w:rPr>
          <w:rFonts w:ascii="Times New Roman" w:hAnsi="Times New Roman"/>
          <w:b w:val="1"/>
          <w:sz w:val="24"/>
          <w:highlight w:val="white"/>
          <w:vertAlign w:val="superscript"/>
        </w:rPr>
        <w:t>1</w:t>
      </w:r>
    </w:p>
    <w:p w14:paraId="03000000">
      <w:pPr>
        <w:spacing w:before="240"/>
        <w:ind w:firstLine="420" w:left="0"/>
        <w:jc w:val="center"/>
        <w:rPr>
          <w:rFonts w:ascii="Times New Roman" w:hAnsi="Times New Roman"/>
          <w:i w:val="1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  <w:vertAlign w:val="superscript"/>
        </w:rPr>
        <w:t>1</w:t>
      </w:r>
      <w:r>
        <w:rPr>
          <w:rFonts w:ascii="Times New Roman" w:hAnsi="Times New Roman"/>
          <w:i w:val="1"/>
          <w:sz w:val="24"/>
          <w:highlight w:val="white"/>
        </w:rPr>
        <w:t>студент</w:t>
      </w:r>
    </w:p>
    <w:p w14:paraId="04000000">
      <w:pPr>
        <w:spacing w:after="200" w:before="240"/>
        <w:ind w:firstLine="420" w:left="0"/>
        <w:jc w:val="center"/>
        <w:rPr>
          <w:rFonts w:ascii="Times New Roman" w:hAnsi="Times New Roman"/>
          <w:i w:val="1"/>
          <w:sz w:val="24"/>
          <w:highlight w:val="white"/>
        </w:rPr>
      </w:pPr>
      <w:r>
        <w:rPr>
          <w:rFonts w:ascii="Times New Roman" w:hAnsi="Times New Roman"/>
          <w:i w:val="1"/>
          <w:sz w:val="24"/>
          <w:highlight w:val="white"/>
        </w:rPr>
        <w:t xml:space="preserve">Московский государственный университет имени М. В. Ломоносова, </w:t>
      </w:r>
    </w:p>
    <w:p w14:paraId="05000000">
      <w:pPr>
        <w:spacing w:after="200" w:before="240"/>
        <w:ind w:firstLine="420" w:left="0"/>
        <w:jc w:val="center"/>
        <w:rPr>
          <w:rFonts w:ascii="Times New Roman" w:hAnsi="Times New Roman"/>
          <w:i w:val="1"/>
          <w:sz w:val="24"/>
          <w:highlight w:val="white"/>
        </w:rPr>
      </w:pPr>
      <w:r>
        <w:rPr>
          <w:rFonts w:ascii="Times New Roman" w:hAnsi="Times New Roman"/>
          <w:i w:val="1"/>
          <w:sz w:val="24"/>
          <w:highlight w:val="white"/>
        </w:rPr>
        <w:t>физический факультет, Москва, Россия</w:t>
      </w:r>
    </w:p>
    <w:p w14:paraId="06000000">
      <w:pPr>
        <w:spacing w:after="200" w:before="240"/>
        <w:ind w:firstLine="420" w:left="0"/>
        <w:jc w:val="center"/>
        <w:rPr>
          <w:rFonts w:ascii="Times New Roman" w:hAnsi="Times New Roman"/>
          <w:i w:val="1"/>
          <w:sz w:val="24"/>
          <w:highlight w:val="white"/>
        </w:rPr>
      </w:pPr>
      <w:r>
        <w:rPr>
          <w:rFonts w:ascii="Times New Roman" w:hAnsi="Times New Roman"/>
          <w:i w:val="1"/>
          <w:sz w:val="24"/>
          <w:highlight w:val="white"/>
        </w:rPr>
        <w:t>Научно-исследовательский институт ядерной физики имени Д. В. Скобельцына Московского государственного университета имени М. В. Ломоносова</w:t>
      </w:r>
    </w:p>
    <w:p w14:paraId="07000000">
      <w:pPr>
        <w:spacing w:after="200" w:before="240"/>
        <w:ind w:firstLine="420" w:left="0"/>
        <w:jc w:val="center"/>
        <w:rPr>
          <w:rFonts w:ascii="Times New Roman" w:hAnsi="Times New Roman"/>
          <w:i w:val="1"/>
          <w:sz w:val="24"/>
          <w:highlight w:val="white"/>
        </w:rPr>
      </w:pPr>
      <w:r>
        <w:rPr>
          <w:rFonts w:ascii="Times New Roman" w:hAnsi="Times New Roman"/>
          <w:i w:val="1"/>
          <w:sz w:val="24"/>
          <w:highlight w:val="white"/>
        </w:rPr>
        <w:t>(НИИЯФ МГУ), Москва, Россия</w:t>
      </w:r>
    </w:p>
    <w:p w14:paraId="08000000">
      <w:pPr>
        <w:spacing w:after="240" w:before="240"/>
        <w:ind/>
        <w:rPr>
          <w:rFonts w:ascii="Times New Roman" w:hAnsi="Times New Roman"/>
          <w:color w:val="1155CC"/>
          <w:sz w:val="24"/>
          <w:highlight w:val="white"/>
          <w:u w:val="single"/>
        </w:rPr>
      </w:pPr>
      <w:r>
        <w:rPr>
          <w:rFonts w:ascii="Times New Roman" w:hAnsi="Times New Roman"/>
          <w:i w:val="1"/>
          <w:sz w:val="24"/>
          <w:highlight w:val="white"/>
        </w:rPr>
        <w:t>E–mail</w:t>
      </w:r>
      <w:r>
        <w:rPr>
          <w:rFonts w:ascii="Times New Roman" w:hAnsi="Times New Roman"/>
          <w:sz w:val="24"/>
          <w:highlight w:val="white"/>
        </w:rPr>
        <w:t xml:space="preserve">: </w:t>
      </w:r>
      <w:r>
        <w:rPr>
          <w:rFonts w:ascii="Times New Roman" w:hAnsi="Times New Roman"/>
          <w:color w:val="1155CC"/>
          <w:sz w:val="24"/>
          <w:highlight w:val="white"/>
          <w:u w:val="single"/>
        </w:rPr>
        <w:fldChar w:fldCharType="begin"/>
      </w:r>
      <w:r>
        <w:rPr>
          <w:rFonts w:ascii="Times New Roman" w:hAnsi="Times New Roman"/>
          <w:color w:val="1155CC"/>
          <w:sz w:val="24"/>
          <w:highlight w:val="white"/>
          <w:u w:val="single"/>
        </w:rPr>
        <w:instrText>HYPERLINK "mailto:semenov.aa19@physics.msu.ru"</w:instrText>
      </w:r>
      <w:r>
        <w:rPr>
          <w:rFonts w:ascii="Times New Roman" w:hAnsi="Times New Roman"/>
          <w:color w:val="1155CC"/>
          <w:sz w:val="24"/>
          <w:highlight w:val="white"/>
          <w:u w:val="single"/>
        </w:rPr>
        <w:fldChar w:fldCharType="separate"/>
      </w:r>
      <w:r>
        <w:rPr>
          <w:rFonts w:ascii="Times New Roman" w:hAnsi="Times New Roman"/>
          <w:color w:val="1155CC"/>
          <w:sz w:val="24"/>
          <w:highlight w:val="white"/>
          <w:u w:val="single"/>
        </w:rPr>
        <w:t>semenov.aa19@physics.msu.ru</w:t>
      </w:r>
      <w:r>
        <w:rPr>
          <w:rFonts w:ascii="Times New Roman" w:hAnsi="Times New Roman"/>
          <w:color w:val="1155CC"/>
          <w:sz w:val="24"/>
          <w:highlight w:val="white"/>
          <w:u w:val="single"/>
        </w:rPr>
        <w:fldChar w:fldCharType="end"/>
      </w:r>
    </w:p>
    <w:p w14:paraId="09000000">
      <w:pPr>
        <w:spacing w:after="240" w:before="240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Style w:val="Style_1_ch"/>
          <w:rFonts w:ascii="Times New Roman" w:hAnsi="Times New Roman"/>
          <w:sz w:val="24"/>
          <w:highlight w:val="white"/>
        </w:rPr>
        <w:t>Цель данной работы —– анализ гамма-излучения от Троянцев Нептуна.</w:t>
      </w:r>
    </w:p>
    <w:p w14:paraId="0A000000">
      <w:pPr>
        <w:spacing w:after="240" w:before="240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Style w:val="Style_1_ch"/>
          <w:rFonts w:ascii="Times New Roman" w:hAnsi="Times New Roman"/>
          <w:sz w:val="24"/>
          <w:highlight w:val="white"/>
        </w:rPr>
        <w:t>В своей работе я поставил верхние пределы на  спектральное распределение энергии (SED =</w:t>
      </w:r>
      <m:oMathPara>
        <m:oMath>
          <m:sSup>
            <m:e>
              <m:r>
                <w:rPr>
                  <w:rFonts w:ascii="Cambria Math" w:hAnsi="Cambria Math"/>
                  <w:sz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rPr>
              <m:sty m:val="p"/>
            </m:rPr>
            <m:t>dN/dE</m:t>
          </m:r>
        </m:oMath>
      </m:oMathPara>
      <w:r>
        <w:rPr>
          <w:rStyle w:val="Style_1_ch"/>
          <w:rFonts w:ascii="Times New Roman" w:hAnsi="Times New Roman"/>
          <w:sz w:val="24"/>
          <w:highlight w:val="white"/>
        </w:rPr>
        <w:t>) от Троянцев Нептуна (Рисунок 1.) .</w:t>
      </w:r>
    </w:p>
    <w:p w14:paraId="0B000000">
      <w:pPr>
        <w:pStyle w:val="Style_1"/>
        <w:spacing w:after="240" w:before="240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Style w:val="Style_1_ch"/>
          <w:rFonts w:ascii="Times New Roman" w:hAnsi="Times New Roman"/>
          <w:sz w:val="24"/>
          <w:highlight w:val="white"/>
        </w:rPr>
        <w:t>Троянцы Нептуна представляют собой группу астероидов на расстоянии 30 а.е. от Солнца. Оптический цвет Троянцев в основном более синий, чем медианные значения для астероидов из пояса Койпера. Они движутся по орбите Нептуна в области точек Лагранжа 4, 5.</w:t>
      </w:r>
    </w:p>
    <w:p w14:paraId="0C000000">
      <w:pPr>
        <w:pStyle w:val="Style_1"/>
        <w:spacing w:after="240" w:before="240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Style w:val="Style_1_ch"/>
          <w:rFonts w:ascii="Times New Roman" w:hAnsi="Times New Roman"/>
          <w:sz w:val="24"/>
          <w:highlight w:val="white"/>
        </w:rPr>
        <w:t>Имеют угловой радиус 15 градусов [1] и занимают область пространства похожую на диск[2]. Троянские астероиды Нептуна можно представить как группу камней, образовавшихся если бы Нептун размололи на небольшие осколки, при этом масса остается такой же, а эффективкая площадь увеличивается, поэтому поток высоко-энергетических гамма-квантов от Троянцев будет выше, чем от Нептуна.</w:t>
      </w:r>
      <w:r>
        <w:rPr>
          <w:rStyle w:val="Style_1_ch"/>
          <w:rFonts w:ascii="Times New Roman" w:hAnsi="Times New Roman"/>
          <w:sz w:val="24"/>
          <w:highlight w:val="white"/>
        </w:rPr>
        <w:t xml:space="preserve">  </w:t>
      </w:r>
    </w:p>
    <w:p w14:paraId="0D000000">
      <w:pPr>
        <w:spacing w:after="240" w:before="240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Style w:val="Style_1_ch"/>
          <w:rFonts w:ascii="Times New Roman" w:hAnsi="Times New Roman"/>
          <w:sz w:val="24"/>
          <w:highlight w:val="white"/>
        </w:rPr>
        <w:t>Гамма-кванты от Троянцев Нептуна будут рождаться в результате p-p взаимодействий. В объектах с размером меньше 1 метра каскад, образованный взаимодействием КЛ(Космических лучей) с веществом астероида, не затухнет полностью. Образование гамма-квантов на объектах с размерами меньше 1 метра сродни взаимодействию КЛ с одним ядром, где величина образовавшегося потока гамма-квантов линейно возрастает от количества провзаимодействовавших ядер. В таком случае спектр гамма-квантов будет жестче, чем в случае взаимодействия КЛ с единичным &lt;&lt;широким&gt;&gt; объектом. Полный спектр от альбедо гамма-квантов с энергией $&lt; 1$ ГэВ от Троянцев будет зависеть от плотности расположения астероидов.</w:t>
      </w:r>
    </w:p>
    <w:p w14:paraId="0E000000">
      <w:pPr>
        <w:spacing w:after="240" w:before="240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Спектр гамма-излучения Троянцев чувствителен к распределению Троянцев по радиусу. Поставленные верхние пределы на спектральное распределение энергий от Троянцев Нептуна позволяет оценить их общую массу.</w:t>
      </w:r>
    </w:p>
    <w:p w14:paraId="0F000000">
      <w:pPr>
        <w:spacing w:after="240" w:before="240"/>
        <w:ind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Рисунок 1.</w:t>
      </w:r>
    </w:p>
    <w:p w14:paraId="10000000">
      <w:pPr>
        <w:spacing w:after="240" w:before="240"/>
        <w:ind/>
        <w:jc w:val="both"/>
        <w:rPr>
          <w:rFonts w:ascii="Times New Roman" w:hAnsi="Times New Roman"/>
          <w:sz w:val="24"/>
          <w:highlight w:val="white"/>
        </w:rPr>
      </w:pPr>
      <w:r>
        <w:drawing>
          <wp:inline>
            <wp:extent cx="6057899" cy="44196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057899" cy="441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1000000">
      <w:pPr>
        <w:spacing w:after="240" w:before="240"/>
        <w:ind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color w:val="353535"/>
          <w:sz w:val="24"/>
          <w:highlight w:val="white"/>
        </w:rPr>
        <w:t>Литература</w:t>
      </w:r>
    </w:p>
    <w:p w14:paraId="12000000">
      <w:pPr>
        <w:numPr>
          <w:ilvl w:val="0"/>
          <w:numId w:val="1"/>
        </w:numPr>
        <w:spacing w:after="0" w:before="240"/>
        <w:ind w:hanging="360" w:left="720"/>
        <w:rPr>
          <w:rFonts w:ascii="Times New Roman" w:hAnsi="Times New Roman"/>
          <w:sz w:val="24"/>
          <w:highlight w:val="white"/>
        </w:rPr>
      </w:pPr>
      <w:r>
        <w:rPr>
          <w:rStyle w:val="Style_1_ch"/>
          <w:rFonts w:ascii="Times New Roman" w:hAnsi="Times New Roman"/>
          <w:sz w:val="24"/>
          <w:highlight w:val="white"/>
        </w:rPr>
        <w:t>Lin</w:t>
      </w:r>
      <w:r>
        <w:rPr>
          <w:rStyle w:val="Style_1_ch"/>
          <w:rFonts w:ascii="Times New Roman" w:hAnsi="Times New Roman"/>
          <w:sz w:val="24"/>
          <w:highlight w:val="white"/>
        </w:rPr>
        <w:t xml:space="preserve"> </w:t>
      </w:r>
      <w:r>
        <w:rPr>
          <w:rStyle w:val="Style_1_ch"/>
          <w:rFonts w:ascii="Times New Roman" w:hAnsi="Times New Roman"/>
          <w:sz w:val="24"/>
          <w:highlight w:val="white"/>
        </w:rPr>
        <w:t>H.</w:t>
      </w:r>
      <w:r>
        <w:rPr>
          <w:rStyle w:val="Style_1_ch"/>
          <w:rFonts w:ascii="Times New Roman" w:hAnsi="Times New Roman"/>
          <w:sz w:val="24"/>
          <w:highlight w:val="white"/>
        </w:rPr>
        <w:t xml:space="preserve"> </w:t>
      </w:r>
      <w:r>
        <w:rPr>
          <w:rStyle w:val="Style_1_ch"/>
          <w:rFonts w:ascii="Times New Roman" w:hAnsi="Times New Roman"/>
          <w:sz w:val="24"/>
          <w:highlight w:val="white"/>
        </w:rPr>
        <w:t>W.,</w:t>
      </w:r>
      <w:r>
        <w:rPr>
          <w:rStyle w:val="Style_1_ch"/>
          <w:rFonts w:ascii="Times New Roman" w:hAnsi="Times New Roman"/>
          <w:sz w:val="24"/>
          <w:highlight w:val="white"/>
        </w:rPr>
        <w:t xml:space="preserve"> </w:t>
      </w:r>
      <w:r>
        <w:rPr>
          <w:rStyle w:val="Style_1_ch"/>
          <w:rFonts w:ascii="Times New Roman" w:hAnsi="Times New Roman"/>
          <w:sz w:val="24"/>
          <w:highlight w:val="white"/>
        </w:rPr>
        <w:t>Chen</w:t>
      </w:r>
      <w:r>
        <w:rPr>
          <w:rStyle w:val="Style_1_ch"/>
          <w:rFonts w:ascii="Times New Roman" w:hAnsi="Times New Roman"/>
          <w:sz w:val="24"/>
          <w:highlight w:val="white"/>
        </w:rPr>
        <w:t xml:space="preserve"> </w:t>
      </w:r>
      <w:r>
        <w:rPr>
          <w:rStyle w:val="Style_1_ch"/>
          <w:rFonts w:ascii="Times New Roman" w:hAnsi="Times New Roman"/>
          <w:sz w:val="24"/>
          <w:highlight w:val="white"/>
        </w:rPr>
        <w:t>Y.-T.,</w:t>
      </w:r>
      <w:r>
        <w:rPr>
          <w:rStyle w:val="Style_1_ch"/>
          <w:rFonts w:ascii="Times New Roman" w:hAnsi="Times New Roman"/>
          <w:sz w:val="24"/>
          <w:highlight w:val="white"/>
        </w:rPr>
        <w:t xml:space="preserve"> </w:t>
      </w:r>
      <w:r>
        <w:rPr>
          <w:rStyle w:val="Style_1_ch"/>
          <w:rFonts w:ascii="Times New Roman" w:hAnsi="Times New Roman"/>
          <w:sz w:val="24"/>
          <w:highlight w:val="white"/>
        </w:rPr>
        <w:t>Volk</w:t>
      </w:r>
      <w:r>
        <w:rPr>
          <w:rStyle w:val="Style_1_ch"/>
          <w:rFonts w:ascii="Times New Roman" w:hAnsi="Times New Roman"/>
          <w:sz w:val="24"/>
          <w:highlight w:val="white"/>
        </w:rPr>
        <w:t xml:space="preserve"> </w:t>
      </w:r>
      <w:r>
        <w:rPr>
          <w:rStyle w:val="Style_1_ch"/>
          <w:rFonts w:ascii="Times New Roman" w:hAnsi="Times New Roman"/>
          <w:sz w:val="24"/>
          <w:highlight w:val="white"/>
        </w:rPr>
        <w:t>K.,</w:t>
      </w:r>
      <w:r>
        <w:rPr>
          <w:rStyle w:val="Style_1_ch"/>
          <w:rFonts w:ascii="Times New Roman" w:hAnsi="Times New Roman"/>
          <w:sz w:val="24"/>
          <w:highlight w:val="white"/>
        </w:rPr>
        <w:t xml:space="preserve"> </w:t>
      </w:r>
      <w:r>
        <w:rPr>
          <w:rStyle w:val="Style_1_ch"/>
          <w:rFonts w:ascii="Times New Roman" w:hAnsi="Times New Roman"/>
          <w:sz w:val="24"/>
          <w:highlight w:val="white"/>
        </w:rPr>
        <w:t>Gladman</w:t>
      </w:r>
      <w:r>
        <w:rPr>
          <w:rStyle w:val="Style_1_ch"/>
          <w:rFonts w:ascii="Times New Roman" w:hAnsi="Times New Roman"/>
          <w:sz w:val="24"/>
          <w:highlight w:val="white"/>
        </w:rPr>
        <w:t xml:space="preserve"> </w:t>
      </w:r>
      <w:r>
        <w:rPr>
          <w:rStyle w:val="Style_1_ch"/>
          <w:rFonts w:ascii="Times New Roman" w:hAnsi="Times New Roman"/>
          <w:sz w:val="24"/>
          <w:highlight w:val="white"/>
        </w:rPr>
        <w:t>B.,</w:t>
      </w:r>
      <w:r>
        <w:rPr>
          <w:rStyle w:val="Style_1_ch"/>
          <w:rFonts w:ascii="Times New Roman" w:hAnsi="Times New Roman"/>
          <w:sz w:val="24"/>
          <w:highlight w:val="white"/>
        </w:rPr>
        <w:t xml:space="preserve"> </w:t>
      </w:r>
      <w:r>
        <w:rPr>
          <w:rStyle w:val="Style_1_ch"/>
          <w:rFonts w:ascii="Times New Roman" w:hAnsi="Times New Roman"/>
          <w:sz w:val="24"/>
          <w:highlight w:val="white"/>
        </w:rPr>
        <w:t>Murray-Clay</w:t>
      </w:r>
      <w:r>
        <w:rPr>
          <w:rStyle w:val="Style_1_ch"/>
          <w:rFonts w:ascii="Times New Roman" w:hAnsi="Times New Roman"/>
          <w:sz w:val="24"/>
          <w:highlight w:val="white"/>
        </w:rPr>
        <w:t xml:space="preserve"> </w:t>
      </w:r>
      <w:r>
        <w:rPr>
          <w:rStyle w:val="Style_1_ch"/>
          <w:rFonts w:ascii="Times New Roman" w:hAnsi="Times New Roman"/>
          <w:sz w:val="24"/>
          <w:highlight w:val="white"/>
        </w:rPr>
        <w:t xml:space="preserve">R., </w:t>
      </w:r>
      <w:r>
        <w:rPr>
          <w:rStyle w:val="Style_1_ch"/>
          <w:rFonts w:ascii="Times New Roman" w:hAnsi="Times New Roman"/>
          <w:sz w:val="24"/>
          <w:highlight w:val="white"/>
        </w:rPr>
        <w:t>Alexandersen M., Bannister M. T., Lawler S. M., Ip W.-H., Lykawka P.S.,</w:t>
      </w:r>
      <w:r>
        <w:rPr>
          <w:rStyle w:val="Style_1_ch"/>
          <w:rFonts w:ascii="Times New Roman" w:hAnsi="Times New Roman"/>
          <w:sz w:val="24"/>
          <w:highlight w:val="white"/>
        </w:rPr>
        <w:t>Kavelaars J., Gwyn S. D., and Petit J.-M. OSSOS: The eccentricity and</w:t>
      </w:r>
      <w:r>
        <w:rPr>
          <w:rStyle w:val="Style_1_ch"/>
          <w:rFonts w:ascii="Times New Roman" w:hAnsi="Times New Roman"/>
          <w:sz w:val="24"/>
          <w:highlight w:val="white"/>
        </w:rPr>
        <w:t>inclination distributions of the stable neptunian Trojans // Icarus. — 2021. —</w:t>
      </w:r>
      <w:r>
        <w:rPr>
          <w:rStyle w:val="Style_1_ch"/>
          <w:rFonts w:ascii="Times New Roman" w:hAnsi="Times New Roman"/>
          <w:sz w:val="24"/>
          <w:highlight w:val="white"/>
        </w:rPr>
        <w:t>June. — Vol. 361. — P. 114391. — Access mode:</w:t>
      </w:r>
      <w:r>
        <w:rPr>
          <w:rStyle w:val="Style_1_ch"/>
          <w:rFonts w:ascii="Times New Roman" w:hAnsi="Times New Roman"/>
          <w:sz w:val="24"/>
          <w:highlight w:val="white"/>
        </w:rPr>
        <w:t>https://doi.org/10.1016/</w:t>
      </w:r>
      <w:r>
        <w:rPr>
          <w:rStyle w:val="Style_1_ch"/>
          <w:rFonts w:ascii="Times New Roman" w:hAnsi="Times New Roman"/>
          <w:sz w:val="24"/>
          <w:highlight w:val="white"/>
        </w:rPr>
        <w:t>j.icarus.2021.114391</w:t>
      </w:r>
      <w:r>
        <w:rPr>
          <w:rStyle w:val="Style_1_ch"/>
          <w:rFonts w:ascii="Times New Roman" w:hAnsi="Times New Roman"/>
          <w:sz w:val="24"/>
          <w:highlight w:val="white"/>
        </w:rPr>
        <w:t>.</w:t>
      </w:r>
    </w:p>
    <w:p w14:paraId="13000000">
      <w:pPr>
        <w:numPr>
          <w:ilvl w:val="0"/>
          <w:numId w:val="1"/>
        </w:numPr>
        <w:spacing w:after="0" w:before="240"/>
        <w:ind w:hanging="360" w:left="720"/>
        <w:rPr>
          <w:rFonts w:ascii="Times New Roman" w:hAnsi="Times New Roman"/>
          <w:sz w:val="24"/>
          <w:highlight w:val="white"/>
        </w:rPr>
      </w:pPr>
      <w:r>
        <w:rPr>
          <w:rStyle w:val="Style_1_ch"/>
          <w:rFonts w:ascii="Times New Roman" w:hAnsi="Times New Roman"/>
          <w:sz w:val="24"/>
          <w:highlight w:val="white"/>
        </w:rPr>
        <w:t xml:space="preserve">Huybers P. Early Pleistocene Glacial Cycles and the Integrated Summer </w:t>
      </w:r>
      <w:r>
        <w:rPr>
          <w:rStyle w:val="Style_1_ch"/>
          <w:rFonts w:ascii="Times New Roman" w:hAnsi="Times New Roman"/>
          <w:sz w:val="24"/>
          <w:highlight w:val="white"/>
        </w:rPr>
        <w:t>Insolation Forcing // Science. — 2006. — July. — Vol. 313, no. 5786. — P. 508–</w:t>
      </w:r>
      <w:r>
        <w:rPr>
          <w:rStyle w:val="Style_1_ch"/>
          <w:rFonts w:ascii="Times New Roman" w:hAnsi="Times New Roman"/>
          <w:sz w:val="24"/>
          <w:highlight w:val="white"/>
        </w:rPr>
        <w:t>511. — Access mode:</w:t>
      </w:r>
      <w:r>
        <w:rPr>
          <w:rStyle w:val="Style_1_ch"/>
          <w:rFonts w:ascii="Times New Roman" w:hAnsi="Times New Roman"/>
          <w:sz w:val="24"/>
          <w:highlight w:val="white"/>
        </w:rPr>
        <w:t xml:space="preserve"> https://doi.org/10.1126/science.1125249</w:t>
      </w:r>
      <w:r>
        <w:rPr>
          <w:rStyle w:val="Style_1_ch"/>
          <w:rFonts w:ascii="Times New Roman" w:hAnsi="Times New Roman"/>
          <w:sz w:val="24"/>
          <w:highlight w:val="white"/>
        </w:rPr>
        <w:t>.</w:t>
      </w:r>
    </w:p>
    <w:p w14:paraId="14000000">
      <w:pPr>
        <w:spacing w:after="240" w:before="0"/>
        <w:ind w:hanging="360" w:left="720"/>
        <w:rPr>
          <w:rFonts w:ascii="Times New Roman" w:hAnsi="Times New Roman"/>
          <w:sz w:val="24"/>
          <w:highlight w:val="white"/>
        </w:rPr>
      </w:pPr>
    </w:p>
    <w:tbl>
      <w:tblPr>
        <w:tblStyle w:val="Style_2"/>
        <w:tblInd w:type="dxa" w:w="321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35"/>
      </w:tblGrid>
      <w:tr>
        <w:trPr>
          <w:trHeight w:hRule="atLeast" w:val="195"/>
        </w:trPr>
        <w:tc>
          <w:tcPr>
            <w:tcW w:type="dxa" w:w="1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100"/>
            </w:tcMar>
            <w:vAlign w:val="top"/>
          </w:tcPr>
          <w:p w14:paraId="15000000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firstLine="0" w:left="0" w:right="0"/>
              <w:jc w:val="left"/>
              <w:rPr>
                <w:sz w:val="18"/>
                <w:highlight w:val="white"/>
              </w:rPr>
            </w:pPr>
          </w:p>
        </w:tc>
      </w:tr>
    </w:tbl>
    <w:p w14:paraId="16000000"/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lvlText w:val="%9."/>
      <w:lvlJc w:val="right"/>
      <w:pPr>
        <w:ind w:hanging="360" w:left="64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spacing w:after="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pageBreakBefore w:val="0"/>
      <w:spacing w:after="80" w:before="320"/>
      <w:ind/>
      <w:outlineLvl w:val="2"/>
    </w:pPr>
    <w:rPr>
      <w:b w:val="0"/>
      <w:color w:val="434343"/>
      <w:sz w:val="28"/>
    </w:rPr>
  </w:style>
  <w:style w:styleId="Style_7_ch" w:type="character">
    <w:name w:val="heading 3"/>
    <w:basedOn w:val="Style_1_ch"/>
    <w:link w:val="Style_7"/>
    <w:rPr>
      <w:b w:val="0"/>
      <w:color w:val="434343"/>
      <w:sz w:val="28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pageBreakBefore w:val="0"/>
      <w:spacing w:after="80" w:before="240"/>
      <w:ind/>
      <w:outlineLvl w:val="4"/>
    </w:pPr>
    <w:rPr>
      <w:color w:val="666666"/>
      <w:sz w:val="22"/>
    </w:rPr>
  </w:style>
  <w:style w:styleId="Style_9_ch" w:type="character">
    <w:name w:val="heading 5"/>
    <w:basedOn w:val="Style_1_ch"/>
    <w:link w:val="Style_9"/>
    <w:rPr>
      <w:color w:val="666666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pageBreakBefore w:val="0"/>
      <w:spacing w:after="120" w:before="400"/>
      <w:ind/>
      <w:outlineLvl w:val="0"/>
    </w:pPr>
    <w:rPr>
      <w:sz w:val="40"/>
    </w:rPr>
  </w:style>
  <w:style w:styleId="Style_10_ch" w:type="character">
    <w:name w:val="heading 1"/>
    <w:basedOn w:val="Style_1_ch"/>
    <w:link w:val="Style_10"/>
    <w:rPr>
      <w:sz w:val="4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pageBreakBefore w:val="0"/>
      <w:spacing w:after="320" w:before="0"/>
      <w:ind/>
    </w:pPr>
    <w:rPr>
      <w:rFonts w:ascii="Arial" w:hAnsi="Arial"/>
      <w:i w:val="0"/>
      <w:color w:val="666666"/>
      <w:sz w:val="30"/>
    </w:rPr>
  </w:style>
  <w:style w:styleId="Style_18_ch" w:type="character">
    <w:name w:val="Subtitle"/>
    <w:basedOn w:val="Style_1_ch"/>
    <w:link w:val="Style_18"/>
    <w:rPr>
      <w:rFonts w:ascii="Arial" w:hAnsi="Arial"/>
      <w:i w:val="0"/>
      <w:color w:val="666666"/>
      <w:sz w:val="30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pageBreakBefore w:val="0"/>
      <w:spacing w:after="60" w:before="0"/>
      <w:ind/>
    </w:pPr>
    <w:rPr>
      <w:sz w:val="52"/>
    </w:rPr>
  </w:style>
  <w:style w:styleId="Style_19_ch" w:type="character">
    <w:name w:val="Title"/>
    <w:basedOn w:val="Style_1_ch"/>
    <w:link w:val="Style_19"/>
    <w:rPr>
      <w:sz w:val="5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pageBreakBefore w:val="0"/>
      <w:spacing w:after="80" w:before="280"/>
      <w:ind/>
      <w:outlineLvl w:val="3"/>
    </w:pPr>
    <w:rPr>
      <w:color w:val="666666"/>
      <w:sz w:val="24"/>
    </w:rPr>
  </w:style>
  <w:style w:styleId="Style_20_ch" w:type="character">
    <w:name w:val="heading 4"/>
    <w:basedOn w:val="Style_1_ch"/>
    <w:link w:val="Style_20"/>
    <w:rPr>
      <w:color w:val="666666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pageBreakBefore w:val="0"/>
      <w:spacing w:after="120" w:before="360"/>
      <w:ind/>
      <w:outlineLvl w:val="1"/>
    </w:pPr>
    <w:rPr>
      <w:b w:val="0"/>
      <w:sz w:val="32"/>
    </w:rPr>
  </w:style>
  <w:style w:styleId="Style_21_ch" w:type="character">
    <w:name w:val="heading 2"/>
    <w:basedOn w:val="Style_1_ch"/>
    <w:link w:val="Style_21"/>
    <w:rPr>
      <w:b w:val="0"/>
      <w:sz w:val="32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pageBreakBefore w:val="0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1_ch"/>
    <w:link w:val="Style_22"/>
    <w:rPr>
      <w:i w:val="1"/>
      <w:color w:val="666666"/>
      <w:sz w:val="22"/>
    </w:rPr>
  </w:style>
  <w:style w:default="1" w:styleId="Style_23" w:type="table">
    <w:name w:val="Table Normal"/>
  </w:style>
  <w:style w:styleId="Style_2" w:type="table">
    <w:basedOn w:val="Style_23"/>
    <w:semiHidden w:val="1"/>
    <w:unhideWhenUsed w:val="1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2024-02-26T15:10:51Z</dcterms:modified>
</cp:coreProperties>
</file>