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Восстановление направления прихода широких атмосферных ливней по отраженному от снега черенковскому свету</w:t>
      </w:r>
    </w:p>
    <w:p w:rsidR="00000000" w:rsidDel="00000000" w:rsidP="00000000" w:rsidRDefault="00000000" w:rsidRPr="00000000" w14:paraId="00000002">
      <w:pPr>
        <w:shd w:fill="ffffff" w:val="clear"/>
        <w:spacing w:after="16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Азра К.Ж.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Бонвеч Е.А.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after="16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студент, научный сотрудник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6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5">
      <w:pPr>
        <w:shd w:fill="ffffff" w:val="clear"/>
        <w:spacing w:after="16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физический факультет, Москва, Россия</w:t>
      </w:r>
    </w:p>
    <w:p w:rsidR="00000000" w:rsidDel="00000000" w:rsidP="00000000" w:rsidRDefault="00000000" w:rsidRPr="00000000" w14:paraId="00000006">
      <w:pPr>
        <w:shd w:fill="ffffff" w:val="clear"/>
        <w:spacing w:after="16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Научно-исследовательский институт ядерной физики имени Д.В.Скобельцын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E–mail: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u w:val="single"/>
            <w:rtl w:val="0"/>
          </w:rPr>
          <w:t xml:space="preserve">clemenceanastasia@gmail.com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6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ПКЛ - первичные космические лучи,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бомбардирующие атмосферу Земли из космоса. При столкновении космических заряженных частиц с частицами атмосферы порождаются широкие атмосферные ливни (ШАЛ), одним из компонентов которого является черенковский свет (ЧС), так называемое излучение Вавилова-Черенкова. ЧС ШАЛ может быть зарегистрировано прямым путем наземными установками или непрямыми измерениями. Последний метод подразумевает регистрацию отраженного от снега черенковского света [1]. Подобным непрямым путем регистрирует ЧС ШАЛ серия телескопов типа СФЕРА [2], и одним из этапов обработки результатов эксперимента является восстановление направления первичной частицы.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Данная работа посвящена разработке алгоритма определения направления прихода ШАЛ на массиве моделированных событий. Черенковский свет ШАЛ генерировался пакетом CORSIKA [3], а пространственно-временные распределения отраженного света получены с помощью Geant4. Анализ проводится для телескопа СФЕРА-2 [4-6] и разрабатываемого телескопа СФЕРА-3 [7]. Смоделированы события ливней для разных первичных космических частиц,  двух энергий (10 ПэВ и 30 ПэВ) и двух высот телескопа (500 м и 900 м). В телескопе СФЕРА-2 черенковский свет регистрируется мозаикой из 109 ФЭУ,  а в СФЕРЕ-3 - 378 сегментов с 6 SiPM в каждом.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Определение направления фронта проводится методом наименьших квадратов (МНК). В функцию МНК закладывается уравнение фронта в виде квадратичной функции a0+a1R+a2R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где R - расстояние оси ливня до оптического детектора в системе ливня, которое зависит от направления прихода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θ, φ), а a0, a1, a2 - параметры фронта, которые следует определить.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ind w:firstLine="720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highlight w:val="white"/>
          <w:rtl w:val="0"/>
        </w:rPr>
        <w:t xml:space="preserve">R=√(x’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+y’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highlight w:val="white"/>
          <w:rtl w:val="0"/>
        </w:rPr>
        <w:t xml:space="preserve">где  x′ = cos θ cos ϕ (x − x0) + cos θ sin ϕ (y − y0), y′ = −sin ϕ(x − x0) + cos θ (y − y0); x, y - пространственные координаты фронта, x0, y0 - ось ливня, которая определяется по ФЭУ с максимальным числом фотонов черенковского света.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Разработан алгоритм, определяющий направление ливня для чистого сигнала, для сигнала с добавлением фона ночного неба, и для сигнала, аналогичного экспериментальному, с учетом электроники регистрирующей аппаратуры.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 пример распределения ошибок определения направления для ядер p, Fe, N, на высоте 500 м, 900 м для СФЕРЫ-2 и 500 м, 1000 м для СФЕРЫ-3. </w:t>
      </w:r>
    </w:p>
    <w:p w:rsidR="00000000" w:rsidDel="00000000" w:rsidP="00000000" w:rsidRDefault="00000000" w:rsidRPr="00000000" w14:paraId="00000013">
      <w:pPr>
        <w:spacing w:line="240" w:lineRule="auto"/>
        <w:ind w:left="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652713" cy="209476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2713" cy="20947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559143" cy="20716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9143" cy="2071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566.9291338582675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</w:t>
        <w:tab/>
        <w:t xml:space="preserve">      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(а) </w:t>
        <w:tab/>
        <w:tab/>
        <w:t xml:space="preserve">   </w:t>
        <w:tab/>
        <w:t xml:space="preserve">                         </w:t>
        <w:tab/>
        <w:t xml:space="preserve"> (б)</w:t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654138" cy="2117561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4138" cy="21175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596988" cy="2114276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6988" cy="21142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566.9291338582675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(в) </w:t>
        <w:tab/>
        <w:tab/>
        <w:tab/>
        <w:tab/>
        <w:tab/>
        <w:tab/>
        <w:t xml:space="preserve"> (г)</w:t>
      </w:r>
    </w:p>
    <w:p w:rsidR="00000000" w:rsidDel="00000000" w:rsidP="00000000" w:rsidRDefault="00000000" w:rsidRPr="00000000" w14:paraId="00000017">
      <w:pPr>
        <w:spacing w:line="240" w:lineRule="auto"/>
        <w:ind w:firstLine="566.9291338582675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566.9291338582675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Рис. 1. Распределение гистограмм ошибок определения направления прихода первичной частицы для трех ядер p, N, Fe с энергией 10 ПэВ для: </w:t>
        <w:br w:type="textWrapping"/>
        <w:t xml:space="preserve">(а) СФЕРЫ-2, 500 м высоты; (б) СФЕРЫ-3, 500 м высоты; (в) СФЕРЫ-2, 900 м высоты и (г) СФЕРЫ-3, 1000 м высоты. Ограничение на расстояние от оси ливня до оси телескопа 200 м.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C. Castagnoli, G.Navarra, C.Morello  / Detection of EAS Cherenkov light reflected from mountain snow. //  In Proceedings of 17th International Cosmic Ray Conference. Paris, 1981. 6, P. 103.</w:t>
      </w:r>
    </w:p>
    <w:p w:rsidR="00000000" w:rsidDel="00000000" w:rsidP="00000000" w:rsidRDefault="00000000" w:rsidRPr="00000000" w14:paraId="0000001E">
      <w:pPr>
        <w:widowControl w:val="0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Д.В Чернов.,  Р.А Антонов., Т.В Аулова. и др. / Регистрация отражённого черенковского света ШАЛ в эксперименте СФЕРА как метод изучения космических лучей сверхвысоких энергий. //  Физика элементарных частиц и атомного ядра. 46, No 1. 115.(2015).</w:t>
        <w:tab/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D. Heck, Pierog / T. CORSIKA User’s Guide. // Karlsruher Institut fur technologie. 2011.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R.A. Antonov, E.A. Bonvech, D.V. Chernov / The SPHERE-2 detector for observation of extensive air showers in 1 PeV – 1 EeV energy range. // Astroparticle physics (2020), vol 121.</w:t>
        <w:tab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Vaiman., D. Chernov., D. Podgrudkov, E. Bonvech, V. Galkin et al. / A drone-borne installation for studying the composition of cosmic rays in the range of 1-1000 PeV by registering the reflected Cherenkov light of EAS. // Proceedings of Science. 395,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R.A Antonov., S.P Beschapov., E.A Bonvech., D.V. Chernov, T.A. Dzhatdoev et al. / Results on the primary CR spectrum and composition reconstructed with the SPHERE-2 detector. // Journal of Physics: Conference Series. England, 2013. 409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pBdr>
          <w:top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2022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SPHERE-3 Project for Studying the Composition of Primary Cosmic Rays in the Energy Range Between 1 and 1000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Chernov D.V.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Azra C.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Bonvech E.A.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Galkin V.I.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Владимир Александрович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Latypova V.S.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Podgrudkov D.A.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Roganova T.M.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журнале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highlight w:val="white"/>
            <w:rtl w:val="0"/>
          </w:rPr>
          <w:t xml:space="preserve">Physics of Atomic Nuclei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издательство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highlight w:val="white"/>
            <w:rtl w:val="0"/>
          </w:rPr>
          <w:t xml:space="preserve">Pleiades Publishing, Ltd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(Road Town, United Kingdom)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том 85, № 6, с. 641-652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DOI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stina.msu.ru/publishers/83977330/" TargetMode="External"/><Relationship Id="rId11" Type="http://schemas.openxmlformats.org/officeDocument/2006/relationships/hyperlink" Target="https://istina.msu.ru/publications/article/542138501/" TargetMode="External"/><Relationship Id="rId10" Type="http://schemas.openxmlformats.org/officeDocument/2006/relationships/image" Target="media/image4.png"/><Relationship Id="rId21" Type="http://schemas.openxmlformats.org/officeDocument/2006/relationships/hyperlink" Target="http://dx.doi.org/10.1134/S1063778822060059" TargetMode="External"/><Relationship Id="rId13" Type="http://schemas.openxmlformats.org/officeDocument/2006/relationships/hyperlink" Target="https://istina.msu.ru/workers/488741851/" TargetMode="External"/><Relationship Id="rId12" Type="http://schemas.openxmlformats.org/officeDocument/2006/relationships/hyperlink" Target="https://istina.msu.ru/workers/564728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yperlink" Target="https://istina.msu.ru/workers/394024/" TargetMode="External"/><Relationship Id="rId14" Type="http://schemas.openxmlformats.org/officeDocument/2006/relationships/hyperlink" Target="https://istina.msu.ru/workers/843212/" TargetMode="External"/><Relationship Id="rId17" Type="http://schemas.openxmlformats.org/officeDocument/2006/relationships/hyperlink" Target="https://istina.msu.ru/workers/350224240/" TargetMode="External"/><Relationship Id="rId16" Type="http://schemas.openxmlformats.org/officeDocument/2006/relationships/hyperlink" Target="https://istina.msu.ru/workers/322000705/" TargetMode="External"/><Relationship Id="rId5" Type="http://schemas.openxmlformats.org/officeDocument/2006/relationships/styles" Target="styles.xml"/><Relationship Id="rId19" Type="http://schemas.openxmlformats.org/officeDocument/2006/relationships/hyperlink" Target="https://istina.msu.ru/journals/83240/" TargetMode="External"/><Relationship Id="rId6" Type="http://schemas.openxmlformats.org/officeDocument/2006/relationships/hyperlink" Target="mailto:clemenceanastasia@gmail.com" TargetMode="External"/><Relationship Id="rId18" Type="http://schemas.openxmlformats.org/officeDocument/2006/relationships/hyperlink" Target="https://istina.msu.ru/workers/393396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