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8041B" w14:textId="77777777" w:rsidR="004B2DA6" w:rsidRPr="00136E68" w:rsidRDefault="009303DF" w:rsidP="00523E94">
      <w:pPr>
        <w:tabs>
          <w:tab w:val="left" w:pos="364"/>
        </w:tabs>
        <w:jc w:val="center"/>
        <w:rPr>
          <w:b/>
          <w:bCs/>
          <w:color w:val="000000"/>
          <w:shd w:val="clear" w:color="auto" w:fill="FFFFFF"/>
        </w:rPr>
      </w:pPr>
      <w:bookmarkStart w:id="0" w:name="OLE_LINK1"/>
      <w:r>
        <w:rPr>
          <w:b/>
          <w:bCs/>
          <w:color w:val="000000"/>
          <w:shd w:val="clear" w:color="auto" w:fill="FFFFFF"/>
        </w:rPr>
        <w:t>Энтропи</w:t>
      </w:r>
      <w:r w:rsidR="00C063BD">
        <w:rPr>
          <w:b/>
          <w:bCs/>
          <w:color w:val="000000"/>
          <w:shd w:val="clear" w:color="auto" w:fill="FFFFFF"/>
        </w:rPr>
        <w:t>я</w:t>
      </w:r>
      <w:r>
        <w:rPr>
          <w:b/>
          <w:bCs/>
          <w:color w:val="000000"/>
          <w:shd w:val="clear" w:color="auto" w:fill="FFFFFF"/>
        </w:rPr>
        <w:t xml:space="preserve"> декогерентных историй </w:t>
      </w:r>
      <w:r w:rsidR="00C063BD">
        <w:rPr>
          <w:b/>
          <w:bCs/>
          <w:color w:val="000000"/>
          <w:shd w:val="clear" w:color="auto" w:fill="FFFFFF"/>
        </w:rPr>
        <w:t>как маркер квантового</w:t>
      </w:r>
      <w:r>
        <w:rPr>
          <w:b/>
          <w:bCs/>
          <w:color w:val="000000"/>
          <w:shd w:val="clear" w:color="auto" w:fill="FFFFFF"/>
        </w:rPr>
        <w:t xml:space="preserve"> хаоса </w:t>
      </w:r>
      <w:r w:rsidR="0057221C">
        <w:rPr>
          <w:b/>
          <w:bCs/>
          <w:color w:val="000000"/>
          <w:shd w:val="clear" w:color="auto" w:fill="FFFFFF"/>
        </w:rPr>
        <w:t>в модели</w:t>
      </w:r>
      <w:r w:rsidR="00C063BD">
        <w:rPr>
          <w:b/>
          <w:bCs/>
          <w:color w:val="000000"/>
          <w:shd w:val="clear" w:color="auto" w:fill="FFFFFF"/>
        </w:rPr>
        <w:t xml:space="preserve"> </w:t>
      </w:r>
      <w:r w:rsidR="00523E94">
        <w:rPr>
          <w:b/>
          <w:bCs/>
          <w:color w:val="000000"/>
          <w:shd w:val="clear" w:color="auto" w:fill="FFFFFF"/>
        </w:rPr>
        <w:t>открытого</w:t>
      </w:r>
      <w:r w:rsidR="008E693E">
        <w:rPr>
          <w:b/>
          <w:bCs/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</w:rPr>
        <w:t>квантового волчка</w:t>
      </w:r>
    </w:p>
    <w:bookmarkEnd w:id="0"/>
    <w:p w14:paraId="30223F59" w14:textId="77777777" w:rsidR="00382909" w:rsidRDefault="00254DC1" w:rsidP="00254DC1">
      <w:pPr>
        <w:ind w:firstLine="426"/>
        <w:jc w:val="center"/>
        <w:rPr>
          <w:b/>
          <w:i/>
        </w:rPr>
      </w:pPr>
      <w:r w:rsidRPr="00136E68">
        <w:rPr>
          <w:rStyle w:val="a3"/>
          <w:b/>
          <w:bCs/>
          <w:color w:val="000000"/>
          <w:shd w:val="clear" w:color="auto" w:fill="FFFFFF"/>
        </w:rPr>
        <w:t>Арефьева Н.С.</w:t>
      </w:r>
      <w:r w:rsidR="00382909">
        <w:rPr>
          <w:rStyle w:val="a3"/>
          <w:b/>
          <w:bCs/>
          <w:color w:val="000000"/>
          <w:shd w:val="clear" w:color="auto" w:fill="FFFFFF"/>
          <w:vertAlign w:val="superscript"/>
        </w:rPr>
        <w:t>1,2</w:t>
      </w:r>
      <w:r w:rsidRPr="00136E68">
        <w:rPr>
          <w:rStyle w:val="a3"/>
          <w:b/>
          <w:bCs/>
          <w:color w:val="000000"/>
          <w:shd w:val="clear" w:color="auto" w:fill="FFFFFF"/>
        </w:rPr>
        <w:t>,</w:t>
      </w:r>
      <w:r w:rsidRPr="00136E68">
        <w:rPr>
          <w:b/>
          <w:i/>
        </w:rPr>
        <w:t xml:space="preserve"> </w:t>
      </w:r>
      <w:r w:rsidRPr="004B2DA6">
        <w:rPr>
          <w:b/>
          <w:i/>
        </w:rPr>
        <w:t>Поляков Е.А.</w:t>
      </w:r>
      <w:r w:rsidR="00382909">
        <w:rPr>
          <w:b/>
          <w:i/>
          <w:vertAlign w:val="superscript"/>
        </w:rPr>
        <w:t>2</w:t>
      </w:r>
    </w:p>
    <w:p w14:paraId="2CE5145F" w14:textId="77777777" w:rsidR="00254DC1" w:rsidRPr="00136E68" w:rsidRDefault="00254DC1" w:rsidP="0054175A">
      <w:pPr>
        <w:ind w:firstLine="426"/>
        <w:jc w:val="center"/>
        <w:rPr>
          <w:rStyle w:val="a3"/>
          <w:b/>
          <w:iCs w:val="0"/>
        </w:rPr>
      </w:pPr>
      <w:r w:rsidRPr="00136E68">
        <w:rPr>
          <w:rStyle w:val="a3"/>
          <w:color w:val="000000"/>
          <w:shd w:val="clear" w:color="auto" w:fill="FFFFFF"/>
        </w:rPr>
        <w:t>Аспирантка</w:t>
      </w:r>
    </w:p>
    <w:p w14:paraId="6B4B4E96" w14:textId="553D660F" w:rsidR="00382909" w:rsidRDefault="009C7062" w:rsidP="0054175A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9C7062">
        <w:rPr>
          <w:rStyle w:val="a3"/>
          <w:color w:val="000000"/>
          <w:shd w:val="clear" w:color="auto" w:fill="FFFFFF"/>
          <w:vertAlign w:val="superscript"/>
        </w:rPr>
        <w:t>1</w:t>
      </w:r>
      <w:r w:rsidR="00254DC1" w:rsidRPr="00136E68">
        <w:rPr>
          <w:rStyle w:val="a3"/>
          <w:color w:val="000000"/>
          <w:shd w:val="clear" w:color="auto" w:fill="FFFFFF"/>
        </w:rPr>
        <w:t>Московский государственный университет имени М.В.Ломоносова,</w:t>
      </w:r>
      <w:r w:rsidR="00254DC1" w:rsidRPr="00136E68">
        <w:rPr>
          <w:rStyle w:val="apple-converted-space"/>
          <w:i/>
          <w:iCs/>
          <w:color w:val="000000"/>
          <w:shd w:val="clear" w:color="auto" w:fill="FFFFFF"/>
        </w:rPr>
        <w:t> </w:t>
      </w:r>
      <w:r w:rsidR="00254DC1" w:rsidRPr="00136E68">
        <w:rPr>
          <w:i/>
          <w:iCs/>
          <w:color w:val="000000"/>
          <w:shd w:val="clear" w:color="auto" w:fill="FFFFFF"/>
        </w:rPr>
        <w:br/>
      </w:r>
      <w:r w:rsidR="00254DC1" w:rsidRPr="00136E68">
        <w:rPr>
          <w:rStyle w:val="a3"/>
          <w:color w:val="000000"/>
          <w:shd w:val="clear" w:color="auto" w:fill="FFFFFF"/>
        </w:rPr>
        <w:t>физический факультет, Москва, Россия</w:t>
      </w:r>
    </w:p>
    <w:p w14:paraId="4312B4AC" w14:textId="2F8136CD" w:rsidR="0054175A" w:rsidRPr="0054175A" w:rsidRDefault="009C7062" w:rsidP="009E1074">
      <w:pPr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  <w:vertAlign w:val="superscript"/>
          <w:lang w:val="en-US"/>
        </w:rPr>
        <w:t>2</w:t>
      </w:r>
      <w:r w:rsidR="0054175A">
        <w:rPr>
          <w:i/>
          <w:iCs/>
          <w:color w:val="000000"/>
          <w:shd w:val="clear" w:color="auto" w:fill="FFFFFF"/>
        </w:rPr>
        <w:t>Российский квантовый центр, Москва, Россия</w:t>
      </w:r>
      <w:r w:rsidR="00254DC1" w:rsidRPr="0054175A">
        <w:rPr>
          <w:i/>
          <w:iCs/>
          <w:color w:val="000000"/>
          <w:shd w:val="clear" w:color="auto" w:fill="FFFFFF"/>
        </w:rPr>
        <w:br/>
      </w:r>
      <w:r w:rsidR="00254DC1" w:rsidRPr="0054175A">
        <w:rPr>
          <w:rStyle w:val="a3"/>
          <w:color w:val="000000"/>
          <w:shd w:val="clear" w:color="auto" w:fill="FFFFFF"/>
          <w:lang w:val="en-US"/>
        </w:rPr>
        <w:t>E</w:t>
      </w:r>
      <w:r w:rsidR="00254DC1" w:rsidRPr="0054175A">
        <w:rPr>
          <w:rStyle w:val="a3"/>
          <w:color w:val="000000"/>
          <w:shd w:val="clear" w:color="auto" w:fill="FFFFFF"/>
        </w:rPr>
        <w:t>–</w:t>
      </w:r>
      <w:r w:rsidR="00254DC1" w:rsidRPr="0054175A">
        <w:rPr>
          <w:rStyle w:val="a3"/>
          <w:color w:val="000000"/>
          <w:shd w:val="clear" w:color="auto" w:fill="FFFFFF"/>
          <w:lang w:val="en-US"/>
        </w:rPr>
        <w:t>mail</w:t>
      </w:r>
      <w:r w:rsidR="00254DC1" w:rsidRPr="0054175A">
        <w:rPr>
          <w:rStyle w:val="a3"/>
          <w:i w:val="0"/>
          <w:color w:val="000000"/>
          <w:shd w:val="clear" w:color="auto" w:fill="FFFFFF"/>
        </w:rPr>
        <w:t xml:space="preserve">: </w:t>
      </w:r>
      <w:r w:rsidR="00254DC1" w:rsidRPr="00136E68">
        <w:rPr>
          <w:rStyle w:val="a3"/>
          <w:color w:val="000000"/>
          <w:shd w:val="clear" w:color="auto" w:fill="FFFFFF"/>
          <w:lang w:val="en-US"/>
        </w:rPr>
        <w:t>arefnat</w:t>
      </w:r>
      <w:r w:rsidR="00254DC1" w:rsidRPr="0054175A">
        <w:rPr>
          <w:rStyle w:val="a3"/>
          <w:color w:val="000000"/>
          <w:shd w:val="clear" w:color="auto" w:fill="FFFFFF"/>
        </w:rPr>
        <w:t>8@</w:t>
      </w:r>
      <w:r w:rsidR="00254DC1" w:rsidRPr="00136E68">
        <w:rPr>
          <w:rStyle w:val="a3"/>
          <w:color w:val="000000"/>
          <w:shd w:val="clear" w:color="auto" w:fill="FFFFFF"/>
          <w:lang w:val="en-US"/>
        </w:rPr>
        <w:t>gmail</w:t>
      </w:r>
      <w:r w:rsidR="00254DC1" w:rsidRPr="0054175A">
        <w:rPr>
          <w:rStyle w:val="a3"/>
          <w:color w:val="000000"/>
          <w:shd w:val="clear" w:color="auto" w:fill="FFFFFF"/>
        </w:rPr>
        <w:t>.</w:t>
      </w:r>
      <w:r w:rsidR="00254DC1" w:rsidRPr="00136E68">
        <w:rPr>
          <w:rStyle w:val="a3"/>
          <w:color w:val="000000"/>
          <w:shd w:val="clear" w:color="auto" w:fill="FFFFFF"/>
          <w:lang w:val="en-US"/>
        </w:rPr>
        <w:t>com</w:t>
      </w:r>
    </w:p>
    <w:p w14:paraId="3FA9FEC7" w14:textId="77777777" w:rsidR="0054175A" w:rsidRDefault="0054175A" w:rsidP="0054175A">
      <w:pPr>
        <w:ind w:firstLine="397"/>
        <w:jc w:val="both"/>
        <w:rPr>
          <w:lang w:eastAsia="en-US"/>
        </w:rPr>
      </w:pPr>
      <w:r>
        <w:rPr>
          <w:lang w:eastAsia="en-US"/>
        </w:rPr>
        <w:t>Несмотря на то, что явление квантового хаоса начало изучаться еще в прошлом веке, н</w:t>
      </w:r>
      <w:r w:rsidR="004B2DA6" w:rsidRPr="004B2DA6">
        <w:rPr>
          <w:lang w:eastAsia="en-US"/>
        </w:rPr>
        <w:t xml:space="preserve">а сегодняшний день не существует четкого понимания механизмов, лежащих в </w:t>
      </w:r>
      <w:r w:rsidR="00F2458B">
        <w:rPr>
          <w:lang w:eastAsia="en-US"/>
        </w:rPr>
        <w:t xml:space="preserve">его </w:t>
      </w:r>
      <w:r w:rsidR="004B2DA6" w:rsidRPr="004B2DA6">
        <w:rPr>
          <w:lang w:eastAsia="en-US"/>
        </w:rPr>
        <w:t>основе</w:t>
      </w:r>
      <w:r w:rsidR="004B2DA6">
        <w:rPr>
          <w:lang w:eastAsia="en-US"/>
        </w:rPr>
        <w:t xml:space="preserve">. </w:t>
      </w:r>
      <w:r w:rsidR="00254DC1" w:rsidRPr="00136E68">
        <w:rPr>
          <w:lang w:eastAsia="en-US"/>
        </w:rPr>
        <w:t xml:space="preserve">В силу принципа соответствия свойства системы, приводящие к хаотической динамике на классическом уровне, также должны присутствовать в </w:t>
      </w:r>
      <w:r w:rsidR="00F2458B">
        <w:rPr>
          <w:lang w:eastAsia="en-US"/>
        </w:rPr>
        <w:t>основной</w:t>
      </w:r>
      <w:r w:rsidR="00254DC1" w:rsidRPr="00136E68">
        <w:rPr>
          <w:lang w:eastAsia="en-US"/>
        </w:rPr>
        <w:t xml:space="preserve"> квантовой системе. </w:t>
      </w:r>
      <w:r w:rsidR="00136E68" w:rsidRPr="00136E68">
        <w:rPr>
          <w:lang w:eastAsia="en-US"/>
        </w:rPr>
        <w:t>В классических системах хаос характеризуется экспоненциальной чувствительностью эволюции системы во времени к начальным условиям и описывается экспонентой Ляпунова. Однако в квантовом случае аналогичное описание хаоса строго говоря невозможно из-за отсутствия траекторий</w:t>
      </w:r>
      <w:r w:rsidR="009026A2" w:rsidRPr="009026A2">
        <w:rPr>
          <w:lang w:eastAsia="en-US"/>
        </w:rPr>
        <w:t xml:space="preserve"> </w:t>
      </w:r>
      <w:r w:rsidR="009026A2">
        <w:rPr>
          <w:lang w:eastAsia="en-US"/>
        </w:rPr>
        <w:t>и унитарности временной эволюции</w:t>
      </w:r>
      <w:r w:rsidR="00136E68" w:rsidRPr="00136E68">
        <w:rPr>
          <w:lang w:eastAsia="en-US"/>
        </w:rPr>
        <w:t xml:space="preserve">. </w:t>
      </w:r>
      <w:r w:rsidR="00254DC1" w:rsidRPr="00136E68">
        <w:rPr>
          <w:lang w:eastAsia="en-US"/>
        </w:rPr>
        <w:t xml:space="preserve">Существуют разные подходы </w:t>
      </w:r>
      <w:r w:rsidR="00136E68">
        <w:rPr>
          <w:lang w:eastAsia="en-US"/>
        </w:rPr>
        <w:t>определения квантового хаоса</w:t>
      </w:r>
      <w:r w:rsidR="00254DC1" w:rsidRPr="00136E68">
        <w:rPr>
          <w:lang w:eastAsia="en-US"/>
        </w:rPr>
        <w:t xml:space="preserve">, наиболее популярные из них: </w:t>
      </w:r>
      <w:r w:rsidR="00136E68" w:rsidRPr="00136E68">
        <w:rPr>
          <w:lang w:eastAsia="en-US"/>
        </w:rPr>
        <w:t xml:space="preserve">через статистику энергетических уровней </w:t>
      </w:r>
      <w:r w:rsidR="00136E68">
        <w:rPr>
          <w:lang w:eastAsia="en-US"/>
        </w:rPr>
        <w:t>(</w:t>
      </w:r>
      <w:r w:rsidR="00254DC1" w:rsidRPr="00136E68">
        <w:rPr>
          <w:lang w:eastAsia="en-US"/>
        </w:rPr>
        <w:t xml:space="preserve">для хаотических систем </w:t>
      </w:r>
      <w:r w:rsidR="00136E68">
        <w:rPr>
          <w:lang w:eastAsia="en-US"/>
        </w:rPr>
        <w:t>–</w:t>
      </w:r>
      <w:r w:rsidR="00254DC1" w:rsidRPr="00136E68">
        <w:rPr>
          <w:lang w:eastAsia="en-US"/>
        </w:rPr>
        <w:t xml:space="preserve"> статистика Вигнера-Дайсона, для интегрируемых систем </w:t>
      </w:r>
      <w:r w:rsidR="00136E68">
        <w:rPr>
          <w:lang w:eastAsia="en-US"/>
        </w:rPr>
        <w:t>–</w:t>
      </w:r>
      <w:r w:rsidR="00254DC1" w:rsidRPr="00136E68">
        <w:rPr>
          <w:lang w:eastAsia="en-US"/>
        </w:rPr>
        <w:t xml:space="preserve"> статистика Пуассона)</w:t>
      </w:r>
      <w:r w:rsidR="00136E68">
        <w:rPr>
          <w:lang w:eastAsia="en-US"/>
        </w:rPr>
        <w:t xml:space="preserve">; </w:t>
      </w:r>
      <w:r w:rsidR="00136E68" w:rsidRPr="00136E68">
        <w:rPr>
          <w:lang w:eastAsia="en-US"/>
        </w:rPr>
        <w:t>эхо Лошмидта</w:t>
      </w:r>
      <w:r w:rsidR="00136E68">
        <w:rPr>
          <w:lang w:eastAsia="en-US"/>
        </w:rPr>
        <w:t xml:space="preserve">; </w:t>
      </w:r>
      <w:r w:rsidR="00136E68" w:rsidRPr="00136E68">
        <w:rPr>
          <w:lang w:eastAsia="en-US"/>
        </w:rPr>
        <w:t>аномально упорядоченные временные корреляторы</w:t>
      </w:r>
      <w:r w:rsidR="00136E68">
        <w:rPr>
          <w:lang w:eastAsia="en-US"/>
        </w:rPr>
        <w:t xml:space="preserve"> </w:t>
      </w:r>
      <w:r w:rsidR="00254DC1" w:rsidRPr="00136E68">
        <w:rPr>
          <w:lang w:eastAsia="en-US"/>
        </w:rPr>
        <w:t>(</w:t>
      </w:r>
      <w:r w:rsidR="009E1074">
        <w:rPr>
          <w:lang w:eastAsia="en-US"/>
        </w:rPr>
        <w:t xml:space="preserve">англ. </w:t>
      </w:r>
      <w:r w:rsidR="009E1074" w:rsidRPr="009E1074">
        <w:rPr>
          <w:lang w:eastAsia="en-US"/>
        </w:rPr>
        <w:t>“</w:t>
      </w:r>
      <w:r w:rsidR="00136E68" w:rsidRPr="00136E68">
        <w:rPr>
          <w:i/>
          <w:iCs/>
          <w:lang w:eastAsia="en-US"/>
        </w:rPr>
        <w:t>out-of-time ordered correlators</w:t>
      </w:r>
      <w:r w:rsidR="009E1074" w:rsidRPr="009E1074">
        <w:rPr>
          <w:i/>
          <w:iCs/>
          <w:lang w:eastAsia="en-US"/>
        </w:rPr>
        <w:t>”</w:t>
      </w:r>
      <w:r w:rsidR="00136E68">
        <w:rPr>
          <w:lang w:eastAsia="en-US"/>
        </w:rPr>
        <w:t xml:space="preserve">, сокращенно </w:t>
      </w:r>
      <w:r w:rsidR="00254DC1" w:rsidRPr="00136E68">
        <w:rPr>
          <w:lang w:eastAsia="en-US"/>
        </w:rPr>
        <w:t>OTOC)</w:t>
      </w:r>
      <w:r w:rsidR="004B2DA6">
        <w:rPr>
          <w:lang w:eastAsia="en-US"/>
        </w:rPr>
        <w:t xml:space="preserve">, являющиеся </w:t>
      </w:r>
      <w:r w:rsidR="00254DC1" w:rsidRPr="00136E68">
        <w:rPr>
          <w:lang w:eastAsia="en-US"/>
        </w:rPr>
        <w:t>обобщение</w:t>
      </w:r>
      <w:r w:rsidR="004B2DA6">
        <w:rPr>
          <w:lang w:eastAsia="en-US"/>
        </w:rPr>
        <w:t>м</w:t>
      </w:r>
      <w:r w:rsidR="00254DC1" w:rsidRPr="00136E68">
        <w:rPr>
          <w:lang w:eastAsia="en-US"/>
        </w:rPr>
        <w:t xml:space="preserve"> </w:t>
      </w:r>
      <w:r w:rsidR="004B2DA6">
        <w:rPr>
          <w:lang w:eastAsia="en-US"/>
        </w:rPr>
        <w:t xml:space="preserve">определения </w:t>
      </w:r>
      <w:r w:rsidR="00254DC1" w:rsidRPr="00136E68">
        <w:rPr>
          <w:lang w:eastAsia="en-US"/>
        </w:rPr>
        <w:t>классическо</w:t>
      </w:r>
      <w:r w:rsidR="004B2DA6">
        <w:rPr>
          <w:lang w:eastAsia="en-US"/>
        </w:rPr>
        <w:t>й</w:t>
      </w:r>
      <w:r w:rsidR="00254DC1" w:rsidRPr="00136E68">
        <w:rPr>
          <w:lang w:eastAsia="en-US"/>
        </w:rPr>
        <w:t xml:space="preserve"> </w:t>
      </w:r>
      <w:r w:rsidR="004B2DA6">
        <w:rPr>
          <w:lang w:eastAsia="en-US"/>
        </w:rPr>
        <w:t xml:space="preserve">Ляпуновской экспоненты </w:t>
      </w:r>
      <w:r w:rsidR="00254DC1" w:rsidRPr="00136E68">
        <w:rPr>
          <w:lang w:eastAsia="en-US"/>
        </w:rPr>
        <w:t>на квантовый случай</w:t>
      </w:r>
      <w:r w:rsidR="004B2DA6">
        <w:rPr>
          <w:lang w:eastAsia="en-US"/>
        </w:rPr>
        <w:t xml:space="preserve"> и </w:t>
      </w:r>
      <w:r w:rsidR="004B2DA6" w:rsidRPr="004B2DA6">
        <w:rPr>
          <w:lang w:eastAsia="en-US"/>
        </w:rPr>
        <w:t>активно исследуемые в настоящее время</w:t>
      </w:r>
      <w:r w:rsidR="00136E68">
        <w:rPr>
          <w:lang w:eastAsia="en-US"/>
        </w:rPr>
        <w:t xml:space="preserve"> и другие</w:t>
      </w:r>
      <w:r w:rsidR="00254DC1" w:rsidRPr="00136E68">
        <w:rPr>
          <w:lang w:eastAsia="en-US"/>
        </w:rPr>
        <w:t xml:space="preserve">. </w:t>
      </w:r>
      <w:r w:rsidRPr="0054175A">
        <w:rPr>
          <w:lang w:eastAsia="en-US"/>
        </w:rPr>
        <w:t>Однако разные способы диагностики квантового хаоса имеют свои недостатки</w:t>
      </w:r>
      <w:r>
        <w:rPr>
          <w:lang w:eastAsia="en-US"/>
        </w:rPr>
        <w:t xml:space="preserve"> (</w:t>
      </w:r>
      <w:r w:rsidRPr="00136E68">
        <w:rPr>
          <w:lang w:eastAsia="en-US"/>
        </w:rPr>
        <w:t xml:space="preserve">статистика уровней плохо определена для малых систем, а </w:t>
      </w:r>
      <w:r>
        <w:rPr>
          <w:lang w:eastAsia="en-US"/>
        </w:rPr>
        <w:t xml:space="preserve">с помощью </w:t>
      </w:r>
      <w:r w:rsidRPr="00136E68">
        <w:rPr>
          <w:lang w:eastAsia="en-US"/>
        </w:rPr>
        <w:t>OTOC не</w:t>
      </w:r>
      <w:r>
        <w:rPr>
          <w:lang w:eastAsia="en-US"/>
        </w:rPr>
        <w:t xml:space="preserve">льзя отличить интегрируемое поведение от хаотического </w:t>
      </w:r>
      <w:r w:rsidRPr="00136E68">
        <w:rPr>
          <w:lang w:eastAsia="en-US"/>
        </w:rPr>
        <w:t>для бильярдных систем</w:t>
      </w:r>
      <w:r>
        <w:rPr>
          <w:lang w:eastAsia="en-US"/>
        </w:rPr>
        <w:t>)</w:t>
      </w:r>
      <w:r w:rsidRPr="0054175A">
        <w:rPr>
          <w:lang w:eastAsia="en-US"/>
        </w:rPr>
        <w:t>. Тем самым, мотивирован интерес в нахождении универсальных критериев квантового хаоса для классически хаотических систем.</w:t>
      </w:r>
      <w:r>
        <w:rPr>
          <w:lang w:eastAsia="en-US"/>
        </w:rPr>
        <w:t xml:space="preserve"> </w:t>
      </w:r>
    </w:p>
    <w:p w14:paraId="779FFF64" w14:textId="77777777" w:rsidR="00254DC1" w:rsidRPr="00136E68" w:rsidRDefault="00254DC1" w:rsidP="0054175A">
      <w:pPr>
        <w:ind w:firstLine="397"/>
        <w:jc w:val="both"/>
      </w:pPr>
      <w:r w:rsidRPr="00136E68">
        <w:t xml:space="preserve">В </w:t>
      </w:r>
      <w:r w:rsidR="0054175A">
        <w:t>настоящей работе, основываясь на идее работы</w:t>
      </w:r>
      <w:r w:rsidRPr="00136E68">
        <w:t xml:space="preserve"> [1]</w:t>
      </w:r>
      <w:r w:rsidR="0054175A">
        <w:t xml:space="preserve"> о важной роли окружения для проявления хаоса в квантовом случае, вводится </w:t>
      </w:r>
      <w:r w:rsidR="0054175A" w:rsidRPr="0054175A">
        <w:t>подход к определению квантового хаоса аналогично классическому определению с использованием декогерентных историй или квантовых траекторий</w:t>
      </w:r>
      <w:r w:rsidRPr="00136E68">
        <w:t xml:space="preserve">. </w:t>
      </w:r>
      <w:r w:rsidR="0054175A" w:rsidRPr="0054175A">
        <w:t xml:space="preserve">Благодаря </w:t>
      </w:r>
      <w:r w:rsidR="009E1074">
        <w:t>подключени</w:t>
      </w:r>
      <w:r w:rsidR="00C063BD">
        <w:t>ю</w:t>
      </w:r>
      <w:r w:rsidR="009E1074">
        <w:t xml:space="preserve"> открытой квантовой системы к </w:t>
      </w:r>
      <w:r w:rsidR="0054175A" w:rsidRPr="0054175A">
        <w:t>окружению</w:t>
      </w:r>
      <w:r w:rsidR="009E1074">
        <w:t xml:space="preserve"> </w:t>
      </w:r>
      <w:r w:rsidR="009E1074" w:rsidRPr="009E1074">
        <w:t xml:space="preserve">можно ввести </w:t>
      </w:r>
      <w:r w:rsidR="009E1074">
        <w:t>к</w:t>
      </w:r>
      <w:r w:rsidR="009E1074" w:rsidRPr="009E1074">
        <w:t>вантовые траектории</w:t>
      </w:r>
      <w:r w:rsidR="0054175A" w:rsidRPr="0054175A">
        <w:t xml:space="preserve"> системы</w:t>
      </w:r>
      <w:r w:rsidR="0054175A">
        <w:t xml:space="preserve">, </w:t>
      </w:r>
      <w:r w:rsidR="0054175A" w:rsidRPr="0054175A">
        <w:t>как записи истории ее движения</w:t>
      </w:r>
      <w:r w:rsidRPr="00136E68">
        <w:t>, хранящ</w:t>
      </w:r>
      <w:r w:rsidR="009E1074">
        <w:t>ие</w:t>
      </w:r>
      <w:r w:rsidRPr="00136E68">
        <w:t>ся в определенных степенях свободы окружения.</w:t>
      </w:r>
    </w:p>
    <w:p w14:paraId="50159D22" w14:textId="77777777" w:rsidR="00254DC1" w:rsidRPr="00136E68" w:rsidRDefault="009026A2" w:rsidP="0054175A">
      <w:pPr>
        <w:ind w:firstLine="397"/>
        <w:jc w:val="both"/>
        <w:rPr>
          <w:lang w:eastAsia="de-DE"/>
        </w:rPr>
      </w:pPr>
      <w:r>
        <w:rPr>
          <w:lang w:eastAsia="de-DE"/>
        </w:rPr>
        <w:t xml:space="preserve">Адаптируя метод работы </w:t>
      </w:r>
      <w:r w:rsidR="00254DC1" w:rsidRPr="00136E68">
        <w:rPr>
          <w:lang w:eastAsia="de-DE"/>
        </w:rPr>
        <w:t>[2]</w:t>
      </w:r>
      <w:r>
        <w:rPr>
          <w:lang w:eastAsia="de-DE"/>
        </w:rPr>
        <w:t>,</w:t>
      </w:r>
      <w:r w:rsidR="00254DC1" w:rsidRPr="00136E68">
        <w:rPr>
          <w:lang w:eastAsia="de-DE"/>
        </w:rPr>
        <w:t xml:space="preserve"> привод</w:t>
      </w:r>
      <w:r w:rsidR="009E1074">
        <w:rPr>
          <w:lang w:eastAsia="de-DE"/>
        </w:rPr>
        <w:t>и</w:t>
      </w:r>
      <w:r w:rsidR="00254DC1" w:rsidRPr="00136E68">
        <w:rPr>
          <w:lang w:eastAsia="de-DE"/>
        </w:rPr>
        <w:t>тся микроскопически</w:t>
      </w:r>
      <w:r w:rsidR="009E1074">
        <w:rPr>
          <w:lang w:eastAsia="de-DE"/>
        </w:rPr>
        <w:t>й</w:t>
      </w:r>
      <w:r w:rsidR="00254DC1" w:rsidRPr="00136E68">
        <w:rPr>
          <w:lang w:eastAsia="de-DE"/>
        </w:rPr>
        <w:t xml:space="preserve"> вывод таких степеней свободы</w:t>
      </w:r>
      <w:r>
        <w:rPr>
          <w:lang w:eastAsia="de-DE"/>
        </w:rPr>
        <w:t xml:space="preserve"> окружения</w:t>
      </w:r>
      <w:r w:rsidR="00254DC1" w:rsidRPr="00136E68">
        <w:rPr>
          <w:lang w:eastAsia="de-DE"/>
        </w:rPr>
        <w:t xml:space="preserve">. </w:t>
      </w:r>
      <w:r>
        <w:rPr>
          <w:lang w:eastAsia="de-DE"/>
        </w:rPr>
        <w:t xml:space="preserve">В </w:t>
      </w:r>
      <w:r w:rsidRPr="009026A2">
        <w:rPr>
          <w:lang w:eastAsia="de-DE"/>
        </w:rPr>
        <w:t>течение эволюции в реальном времени</w:t>
      </w:r>
      <w:r>
        <w:rPr>
          <w:lang w:eastAsia="de-DE"/>
        </w:rPr>
        <w:t xml:space="preserve">, измеряя эти степени свободы одну за другой </w:t>
      </w:r>
      <w:r w:rsidRPr="009026A2">
        <w:rPr>
          <w:lang w:eastAsia="de-DE"/>
        </w:rPr>
        <w:t>с определенной вероятностью</w:t>
      </w:r>
      <w:r>
        <w:rPr>
          <w:lang w:eastAsia="de-DE"/>
        </w:rPr>
        <w:t>,</w:t>
      </w:r>
      <w:r w:rsidRPr="009026A2">
        <w:rPr>
          <w:lang w:eastAsia="de-DE"/>
        </w:rPr>
        <w:t xml:space="preserve"> получается последовательность результатов измерения, которые складываются в квантовую траекторию</w:t>
      </w:r>
      <w:r w:rsidR="00254DC1" w:rsidRPr="00136E68">
        <w:rPr>
          <w:lang w:eastAsia="de-DE"/>
        </w:rPr>
        <w:t>.</w:t>
      </w:r>
      <w:r w:rsidRPr="009026A2">
        <w:t xml:space="preserve"> </w:t>
      </w:r>
      <w:r w:rsidR="00254DC1" w:rsidRPr="00136E68">
        <w:rPr>
          <w:lang w:eastAsia="de-DE"/>
        </w:rPr>
        <w:t>Разумно предположить, что энтропия ансамбля этих квантовых траекторий будет радикально различаться в интегрируемом и хаотическом режимах.</w:t>
      </w:r>
    </w:p>
    <w:p w14:paraId="6839FA4A" w14:textId="77777777" w:rsidR="00254DC1" w:rsidRPr="00136E68" w:rsidRDefault="009E1074" w:rsidP="009E1074">
      <w:pPr>
        <w:ind w:firstLine="397"/>
        <w:jc w:val="both"/>
        <w:rPr>
          <w:lang w:eastAsia="de-DE"/>
        </w:rPr>
      </w:pPr>
      <w:r>
        <w:rPr>
          <w:lang w:eastAsia="de-DE"/>
        </w:rPr>
        <w:t>Данная идея была проверена на</w:t>
      </w:r>
      <w:r w:rsidR="00254DC1" w:rsidRPr="00136E68">
        <w:rPr>
          <w:lang w:eastAsia="de-DE"/>
        </w:rPr>
        <w:t xml:space="preserve"> </w:t>
      </w:r>
      <w:r>
        <w:rPr>
          <w:lang w:eastAsia="de-DE"/>
        </w:rPr>
        <w:t xml:space="preserve">примере модели </w:t>
      </w:r>
      <w:r w:rsidR="00254DC1" w:rsidRPr="00136E68">
        <w:rPr>
          <w:lang w:eastAsia="de-DE"/>
        </w:rPr>
        <w:t>открытого квантового волчка с толчками</w:t>
      </w:r>
      <w:r w:rsidRPr="009E1074">
        <w:rPr>
          <w:lang w:eastAsia="de-DE"/>
        </w:rPr>
        <w:t xml:space="preserve"> </w:t>
      </w:r>
      <w:r>
        <w:rPr>
          <w:lang w:eastAsia="de-DE"/>
        </w:rPr>
        <w:t xml:space="preserve">(англ. </w:t>
      </w:r>
      <w:r w:rsidRPr="009E1074">
        <w:rPr>
          <w:lang w:eastAsia="de-DE"/>
        </w:rPr>
        <w:t>“</w:t>
      </w:r>
      <w:r w:rsidRPr="009E1074">
        <w:rPr>
          <w:i/>
          <w:iCs/>
          <w:lang w:val="en-US" w:eastAsia="de-DE"/>
        </w:rPr>
        <w:t>kicked</w:t>
      </w:r>
      <w:r w:rsidRPr="009E1074">
        <w:rPr>
          <w:i/>
          <w:iCs/>
          <w:lang w:eastAsia="de-DE"/>
        </w:rPr>
        <w:t xml:space="preserve"> </w:t>
      </w:r>
      <w:r w:rsidRPr="009E1074">
        <w:rPr>
          <w:i/>
          <w:iCs/>
          <w:lang w:val="en-US" w:eastAsia="de-DE"/>
        </w:rPr>
        <w:t>top</w:t>
      </w:r>
      <w:r w:rsidRPr="009E1074">
        <w:rPr>
          <w:lang w:eastAsia="de-DE"/>
        </w:rPr>
        <w:t>”</w:t>
      </w:r>
      <w:r>
        <w:rPr>
          <w:lang w:eastAsia="de-DE"/>
        </w:rPr>
        <w:t>)</w:t>
      </w:r>
      <w:r w:rsidR="009035AA">
        <w:rPr>
          <w:lang w:eastAsia="de-DE"/>
        </w:rPr>
        <w:t>,</w:t>
      </w:r>
      <w:r w:rsidR="009026A2">
        <w:rPr>
          <w:lang w:eastAsia="de-DE"/>
        </w:rPr>
        <w:t xml:space="preserve"> </w:t>
      </w:r>
      <w:r w:rsidR="009035AA" w:rsidRPr="009035AA">
        <w:rPr>
          <w:lang w:eastAsia="de-DE"/>
        </w:rPr>
        <w:t>характеризу</w:t>
      </w:r>
      <w:r w:rsidR="009035AA">
        <w:rPr>
          <w:lang w:eastAsia="de-DE"/>
        </w:rPr>
        <w:t>ющейся</w:t>
      </w:r>
      <w:r w:rsidR="009035AA" w:rsidRPr="009035AA">
        <w:rPr>
          <w:lang w:eastAsia="de-DE"/>
        </w:rPr>
        <w:t xml:space="preserve"> угловым моментом</w:t>
      </w:r>
      <w:r w:rsidR="009035AA">
        <w:rPr>
          <w:lang w:eastAsia="de-DE"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iCs/>
                <w:lang w:val="en-US" w:eastAsia="de-DE"/>
              </w:rPr>
            </m:ctrlPr>
          </m:accPr>
          <m:e>
            <m:r>
              <w:rPr>
                <w:rFonts w:ascii="Cambria Math" w:hAnsi="Cambria Math"/>
                <w:lang w:val="en-US" w:eastAsia="de-DE"/>
              </w:rPr>
              <m:t>J</m:t>
            </m:r>
          </m:e>
        </m:acc>
      </m:oMath>
      <w:r w:rsidR="009035AA">
        <w:rPr>
          <w:iCs/>
          <w:lang w:eastAsia="de-DE"/>
        </w:rPr>
        <w:t xml:space="preserve"> </w:t>
      </w:r>
      <w:r w:rsidR="009035AA">
        <w:rPr>
          <w:iCs/>
          <w:lang w:val="en-US" w:eastAsia="de-DE"/>
        </w:rPr>
        <w:t>[3]</w:t>
      </w:r>
      <w:r w:rsidR="00254DC1" w:rsidRPr="00136E68">
        <w:rPr>
          <w:lang w:eastAsia="de-DE"/>
        </w:rPr>
        <w:t>:</w:t>
      </w:r>
    </w:p>
    <w:p w14:paraId="1343DA07" w14:textId="77777777" w:rsidR="00254DC1" w:rsidRPr="00136E68" w:rsidRDefault="00000000" w:rsidP="0054175A">
      <w:pPr>
        <w:ind w:firstLine="709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lang w:eastAsia="de-DE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iCs/>
                      <w:lang w:eastAsia="de-DE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 w:eastAsia="de-DE"/>
                    </w:rPr>
                    <m:t>H</m:t>
                  </m:r>
                </m:e>
              </m:acc>
            </m:e>
            <m:sub>
              <m:r>
                <w:rPr>
                  <w:rFonts w:ascii="Cambria Math" w:hAnsi="Cambria Math"/>
                  <w:lang w:val="en-US" w:eastAsia="de-DE"/>
                </w:rPr>
                <m:t>S</m:t>
              </m:r>
            </m:sub>
          </m:sSub>
          <m:d>
            <m:dPr>
              <m:ctrlPr>
                <w:rPr>
                  <w:rFonts w:ascii="Cambria Math" w:hAnsi="Cambria Math"/>
                  <w:i/>
                  <w:iCs/>
                  <w:lang w:val="en-US" w:eastAsia="de-DE"/>
                </w:rPr>
              </m:ctrlPr>
            </m:dPr>
            <m:e>
              <m:r>
                <w:rPr>
                  <w:rFonts w:ascii="Cambria Math" w:hAnsi="Cambria Math"/>
                  <w:lang w:val="en-US" w:eastAsia="de-DE"/>
                </w:rPr>
                <m:t>t</m:t>
              </m:r>
            </m:e>
          </m:d>
          <m:r>
            <w:rPr>
              <w:rFonts w:ascii="Cambria Math" w:hAnsi="Cambria Math"/>
              <w:lang w:val="en-US" w:eastAsia="de-DE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lang w:val="en-US" w:eastAsia="de-DE"/>
                </w:rPr>
              </m:ctrlPr>
            </m:fPr>
            <m:num>
              <m:r>
                <w:rPr>
                  <w:rFonts w:ascii="Cambria Math" w:hAnsi="Cambria Math"/>
                  <w:lang w:val="en-US" w:eastAsia="de-DE"/>
                </w:rPr>
                <m:t>p</m:t>
              </m:r>
            </m:num>
            <m:den>
              <m:r>
                <w:rPr>
                  <w:rFonts w:ascii="Cambria Math" w:hAnsi="Cambria Math"/>
                  <w:lang w:val="en-US" w:eastAsia="de-DE"/>
                </w:rPr>
                <m:t>τ</m:t>
              </m:r>
            </m:den>
          </m:f>
          <m:sSub>
            <m:sSubPr>
              <m:ctrlPr>
                <w:rPr>
                  <w:rFonts w:ascii="Cambria Math" w:hAnsi="Cambria Math"/>
                  <w:i/>
                  <w:iCs/>
                  <w:lang w:eastAsia="de-DE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iCs/>
                      <w:lang w:eastAsia="de-DE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 w:eastAsia="de-DE"/>
                    </w:rPr>
                    <m:t> J</m:t>
                  </m:r>
                </m:e>
              </m:acc>
            </m:e>
            <m:sub>
              <m:r>
                <w:rPr>
                  <w:rFonts w:ascii="Cambria Math" w:hAnsi="Cambria Math"/>
                  <w:lang w:val="en-US" w:eastAsia="de-DE"/>
                </w:rPr>
                <m:t>y</m:t>
              </m:r>
            </m:sub>
          </m:sSub>
          <m:r>
            <w:rPr>
              <w:rFonts w:ascii="Cambria Math" w:hAnsi="Cambria Math"/>
              <w:lang w:val="en-US" w:eastAsia="de-DE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  <w:lang w:val="en-US" w:eastAsia="de-DE"/>
                </w:rPr>
              </m:ctrlPr>
            </m:fPr>
            <m:num>
              <m:r>
                <w:rPr>
                  <w:rFonts w:ascii="Cambria Math" w:hAnsi="Cambria Math"/>
                  <w:lang w:val="en-US" w:eastAsia="de-DE"/>
                </w:rPr>
                <m:t>K</m:t>
              </m:r>
            </m:num>
            <m:den>
              <m:r>
                <w:rPr>
                  <w:rFonts w:ascii="Cambria Math" w:hAnsi="Cambria Math"/>
                  <w:lang w:val="en-US" w:eastAsia="de-DE"/>
                </w:rPr>
                <m:t>2j</m:t>
              </m:r>
            </m:den>
          </m:f>
          <m:sSup>
            <m:sSupPr>
              <m:ctrlPr>
                <w:rPr>
                  <w:rFonts w:ascii="Cambria Math" w:hAnsi="Cambria Math"/>
                  <w:i/>
                  <w:iCs/>
                  <w:lang w:val="en-US" w:eastAsia="de-DE"/>
                </w:rPr>
              </m:ctrlPr>
            </m:sSupPr>
            <m:e>
              <m:r>
                <w:rPr>
                  <w:rFonts w:ascii="Cambria Math" w:hAnsi="Cambria Math"/>
                  <w:lang w:val="en-US" w:eastAsia="de-DE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eastAsia="de-DE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iCs/>
                          <w:lang w:eastAsia="de-DE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 w:eastAsia="de-DE"/>
                        </w:rPr>
                        <m:t> J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val="en-US" w:eastAsia="de-DE"/>
                    </w:rPr>
                    <m:t>z</m:t>
                  </m:r>
                </m:sub>
              </m:sSub>
              <m:r>
                <w:rPr>
                  <w:rFonts w:ascii="Cambria Math" w:hAnsi="Cambria Math"/>
                  <w:lang w:val="en-US" w:eastAsia="de-DE"/>
                </w:rPr>
                <m:t>-β)</m:t>
              </m:r>
            </m:e>
            <m:sup>
              <m:r>
                <w:rPr>
                  <w:rFonts w:ascii="Cambria Math" w:hAnsi="Cambria Math"/>
                  <w:lang w:val="en-US" w:eastAsia="de-DE"/>
                </w:rPr>
                <m:t>2</m:t>
              </m:r>
            </m:sup>
          </m:sSup>
          <m:nary>
            <m:naryPr>
              <m:chr m:val="∑"/>
              <m:ctrlPr>
                <w:rPr>
                  <w:rFonts w:ascii="Cambria Math" w:hAnsi="Cambria Math"/>
                  <w:i/>
                  <w:iCs/>
                  <w:lang w:val="en-US" w:eastAsia="de-DE"/>
                </w:rPr>
              </m:ctrlPr>
            </m:naryPr>
            <m:sub>
              <m:r>
                <w:rPr>
                  <w:rFonts w:ascii="Cambria Math" w:hAnsi="Cambria Math"/>
                  <w:lang w:val="en-US" w:eastAsia="de-DE"/>
                </w:rPr>
                <m:t>n=-∞</m:t>
              </m:r>
            </m:sub>
            <m:sup>
              <m:r>
                <w:rPr>
                  <w:rFonts w:ascii="Cambria Math" w:hAnsi="Cambria Math"/>
                  <w:lang w:val="en-US" w:eastAsia="de-DE"/>
                </w:rPr>
                <m:t>∞</m:t>
              </m:r>
            </m:sup>
            <m:e>
              <m:r>
                <w:rPr>
                  <w:rFonts w:ascii="Cambria Math" w:hAnsi="Cambria Math"/>
                  <w:lang w:val="en-US" w:eastAsia="de-DE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lang w:val="en-US" w:eastAsia="de-DE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 w:eastAsia="de-DE"/>
                    </w:rPr>
                    <m:t>t-nτ</m:t>
                  </m:r>
                </m:e>
              </m:d>
              <m:r>
                <w:rPr>
                  <w:rFonts w:ascii="Cambria Math" w:hAnsi="Cambria Math"/>
                  <w:lang w:val="en-US" w:eastAsia="de-DE"/>
                </w:rPr>
                <m:t xml:space="preserve">  ,  </m:t>
              </m:r>
              <m:r>
                <m:rPr>
                  <m:sty m:val="p"/>
                </m:rPr>
                <w:rPr>
                  <w:rFonts w:ascii="Cambria Math" w:hAnsi="Cambria Math"/>
                  <w:lang w:eastAsia="de-DE"/>
                </w:rPr>
                <m:t>(</m:t>
              </m:r>
              <m:r>
                <w:rPr>
                  <w:rFonts w:ascii="Cambria Math" w:hAnsi="Cambria Math"/>
                  <w:lang w:eastAsia="de-DE"/>
                </w:rPr>
                <m:t>ℏ=1</m:t>
              </m:r>
              <m:r>
                <m:rPr>
                  <m:sty m:val="p"/>
                </m:rPr>
                <w:rPr>
                  <w:rFonts w:ascii="Cambria Math" w:hAnsi="Cambria Math"/>
                  <w:lang w:eastAsia="de-DE"/>
                </w:rPr>
                <m:t>)</m:t>
              </m:r>
              <m:r>
                <w:rPr>
                  <w:rFonts w:ascii="Cambria Math" w:hAnsi="Cambria Math"/>
                  <w:lang w:val="en-US" w:eastAsia="de-DE"/>
                </w:rPr>
                <m:t xml:space="preserve"> </m:t>
              </m:r>
            </m:e>
          </m:nary>
        </m:oMath>
      </m:oMathPara>
    </w:p>
    <w:p w14:paraId="2D0FFCA9" w14:textId="77777777" w:rsidR="004B2DA6" w:rsidRPr="00136E68" w:rsidRDefault="009035AA" w:rsidP="009026A2">
      <w:pPr>
        <w:jc w:val="both"/>
        <w:rPr>
          <w:lang w:eastAsia="de-DE"/>
        </w:rPr>
      </w:pPr>
      <w:r>
        <w:t xml:space="preserve">где </w:t>
      </w:r>
      <w:r w:rsidRPr="009035AA">
        <w:rPr>
          <w:i/>
          <w:iCs/>
          <w:lang w:val="en-US"/>
        </w:rPr>
        <w:t>K</w:t>
      </w:r>
      <w:r w:rsidRPr="009035AA">
        <w:t xml:space="preserve"> – величин</w:t>
      </w:r>
      <w:r>
        <w:t>а</w:t>
      </w:r>
      <w:r w:rsidRPr="009035AA">
        <w:t xml:space="preserve"> вынужденных толчков</w:t>
      </w:r>
      <w:r>
        <w:t>.</w:t>
      </w:r>
      <w:r w:rsidRPr="009035AA">
        <w:t xml:space="preserve"> </w:t>
      </w:r>
      <w:r w:rsidR="00F27941" w:rsidRPr="00136E68">
        <w:t xml:space="preserve">Классический предел достигается стремлением </w:t>
      </w:r>
      <m:oMath>
        <m:r>
          <w:rPr>
            <w:rFonts w:ascii="Cambria Math" w:hAnsi="Cambria Math"/>
          </w:rPr>
          <m:t>j</m:t>
        </m:r>
        <m:r>
          <m:rPr>
            <m:sty m:val="p"/>
          </m:rPr>
          <w:rPr>
            <w:rFonts w:ascii="Cambria Math" w:hAnsi="Cambria Math"/>
          </w:rPr>
          <m:t>→∞</m:t>
        </m:r>
      </m:oMath>
      <w:r w:rsidR="00F27941" w:rsidRPr="00136E68">
        <w:t xml:space="preserve">, </w:t>
      </w:r>
      <m:oMath>
        <m:r>
          <m:rPr>
            <m:sty m:val="p"/>
          </m:rPr>
          <w:rPr>
            <w:rFonts w:ascii="Cambria Math" w:hAnsi="Cambria Math"/>
            <w:lang w:eastAsia="de-DE"/>
          </w:rPr>
          <m:t>ℏ</m:t>
        </m:r>
        <m:r>
          <m:rPr>
            <m:sty m:val="p"/>
          </m:rPr>
          <w:rPr>
            <w:rFonts w:ascii="Cambria Math" w:hAnsi="Cambria Math"/>
          </w:rPr>
          <m:t>→</m:t>
        </m:r>
        <m:r>
          <m:rPr>
            <m:sty m:val="p"/>
          </m:rPr>
          <w:rPr>
            <w:rFonts w:ascii="Cambria Math" w:hAnsi="Cambria Math"/>
            <w:lang w:eastAsia="de-DE"/>
          </w:rPr>
          <m:t>0</m:t>
        </m:r>
      </m:oMath>
      <w:r w:rsidR="00F27941" w:rsidRPr="00136E68">
        <w:t xml:space="preserve"> при сохранении </w:t>
      </w:r>
      <m:oMath>
        <m:r>
          <m:rPr>
            <m:sty m:val="p"/>
          </m:rPr>
          <w:rPr>
            <w:rFonts w:ascii="Cambria Math" w:hAnsi="Cambria Math"/>
            <w:lang w:eastAsia="de-DE"/>
          </w:rPr>
          <m:t>ℏ</m:t>
        </m:r>
        <m:r>
          <w:rPr>
            <w:rFonts w:ascii="Cambria Math" w:hAnsi="Cambria Math"/>
            <w:lang w:eastAsia="de-DE"/>
          </w:rPr>
          <m:t>j</m:t>
        </m:r>
      </m:oMath>
      <w:r w:rsidR="00F27941" w:rsidRPr="00136E68">
        <w:rPr>
          <w:lang w:eastAsia="de-DE"/>
        </w:rPr>
        <w:t>.</w:t>
      </w:r>
      <w:r w:rsidR="0054175A">
        <w:rPr>
          <w:lang w:eastAsia="de-DE"/>
        </w:rPr>
        <w:t xml:space="preserve"> </w:t>
      </w:r>
      <w:r w:rsidR="004B2DA6" w:rsidRPr="00136E68">
        <w:rPr>
          <w:lang w:eastAsia="de-DE"/>
        </w:rPr>
        <w:t xml:space="preserve">Для </w:t>
      </w:r>
      <w:r w:rsidR="0054175A">
        <w:rPr>
          <w:lang w:eastAsia="de-DE"/>
        </w:rPr>
        <w:t>этой модели</w:t>
      </w:r>
      <w:r w:rsidR="004B2DA6" w:rsidRPr="00136E68">
        <w:rPr>
          <w:lang w:eastAsia="de-DE"/>
        </w:rPr>
        <w:t xml:space="preserve"> на классическом уровне в зависимости от силы толчков существует переход между интегрируемым и хаотическим поведением (Рис.1). </w:t>
      </w:r>
    </w:p>
    <w:p w14:paraId="595CA91F" w14:textId="77777777" w:rsidR="004B2DA6" w:rsidRDefault="008E693E" w:rsidP="008E693E">
      <w:pPr>
        <w:ind w:firstLine="709"/>
        <w:jc w:val="both"/>
      </w:pPr>
      <w:r>
        <w:t xml:space="preserve">Чтобы ввести в квантовом случае траектории необходимо подключить к модели квантового волчка с толчками окружение. В роли окружения выступает квантовый термостат. </w:t>
      </w:r>
      <w:r w:rsidR="004B2DA6" w:rsidRPr="00136E68">
        <w:t xml:space="preserve">Для </w:t>
      </w:r>
      <w:r>
        <w:t>такой</w:t>
      </w:r>
      <w:r w:rsidR="004B2DA6" w:rsidRPr="00136E68">
        <w:t xml:space="preserve"> квантовой модели было рассчитано производство энтропии декогерентных историй и показано, что ее поведение сильно различается в </w:t>
      </w:r>
      <w:r w:rsidR="004B2DA6" w:rsidRPr="00136E68">
        <w:lastRenderedPageBreak/>
        <w:t>интегрируемом и хаотическом режимах. В хаотическом случае (</w:t>
      </w:r>
      <m:oMath>
        <m:r>
          <w:rPr>
            <w:rFonts w:ascii="Cambria Math" w:hAnsi="Cambria Math"/>
          </w:rPr>
          <m:t>K &gt; 3</m:t>
        </m:r>
      </m:oMath>
      <w:r w:rsidR="004B2DA6" w:rsidRPr="00136E68">
        <w:t>) производство энтропии растет гораздо быстрее, чем в интегрируемом случае (Рис. 2). Таким образом, энтропия ансамбля квантовых траекторий может использоваться как критерий квантового хаоса.</w:t>
      </w:r>
    </w:p>
    <w:p w14:paraId="52D10046" w14:textId="77777777" w:rsidR="004B2DA6" w:rsidRPr="00136E68" w:rsidRDefault="009035AA" w:rsidP="009035AA">
      <w:pPr>
        <w:ind w:right="-30" w:firstLine="709"/>
        <w:jc w:val="both"/>
        <w:rPr>
          <w:lang w:eastAsia="de-DE"/>
        </w:rPr>
      </w:pPr>
      <w:r w:rsidRPr="00136E68">
        <w:rPr>
          <w:noProof/>
          <w:lang w:eastAsia="de-DE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5AB7FC4" wp14:editId="6963A757">
            <wp:simplePos x="0" y="0"/>
            <wp:positionH relativeFrom="column">
              <wp:posOffset>2991978</wp:posOffset>
            </wp:positionH>
            <wp:positionV relativeFrom="paragraph">
              <wp:posOffset>176530</wp:posOffset>
            </wp:positionV>
            <wp:extent cx="2818130" cy="1823720"/>
            <wp:effectExtent l="0" t="0" r="1270" b="5080"/>
            <wp:wrapTight wrapText="bothSides">
              <wp:wrapPolygon edited="0">
                <wp:start x="0" y="0"/>
                <wp:lineTo x="0" y="21510"/>
                <wp:lineTo x="21512" y="21510"/>
                <wp:lineTo x="21512" y="0"/>
                <wp:lineTo x="0" y="0"/>
              </wp:wrapPolygon>
            </wp:wrapTight>
            <wp:docPr id="190463898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638986" name="Рисунок 1904638986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" r="6125"/>
                    <a:stretch/>
                  </pic:blipFill>
                  <pic:spPr bwMode="auto">
                    <a:xfrm>
                      <a:off x="0" y="0"/>
                      <a:ext cx="2818130" cy="1823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6E68">
        <w:rPr>
          <w:noProof/>
          <w:lang w:eastAsia="de-DE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113AED8" wp14:editId="0B2018CA">
            <wp:simplePos x="0" y="0"/>
            <wp:positionH relativeFrom="column">
              <wp:posOffset>4445</wp:posOffset>
            </wp:positionH>
            <wp:positionV relativeFrom="paragraph">
              <wp:posOffset>176530</wp:posOffset>
            </wp:positionV>
            <wp:extent cx="2854325" cy="1823720"/>
            <wp:effectExtent l="0" t="0" r="3175" b="5080"/>
            <wp:wrapTight wrapText="bothSides">
              <wp:wrapPolygon edited="0">
                <wp:start x="0" y="0"/>
                <wp:lineTo x="0" y="21510"/>
                <wp:lineTo x="21528" y="21510"/>
                <wp:lineTo x="21528" y="0"/>
                <wp:lineTo x="0" y="0"/>
              </wp:wrapPolygon>
            </wp:wrapTight>
            <wp:docPr id="79450985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509855" name="Рисунок 794509855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73"/>
                    <a:stretch/>
                  </pic:blipFill>
                  <pic:spPr bwMode="auto">
                    <a:xfrm>
                      <a:off x="0" y="0"/>
                      <a:ext cx="2854325" cy="1823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45A7E" w14:textId="77777777" w:rsidR="00136E68" w:rsidRDefault="00136E68" w:rsidP="0054175A">
      <w:pPr>
        <w:ind w:firstLine="709"/>
        <w:jc w:val="both"/>
        <w:rPr>
          <w:lang w:eastAsia="de-DE"/>
        </w:rPr>
      </w:pPr>
      <w:r w:rsidRPr="00136E68">
        <w:rPr>
          <w:lang w:eastAsia="de-DE"/>
        </w:rPr>
        <w:t xml:space="preserve">Рис. 1 Переход от интегрируемого (статистика Пуассона) к хаотическому (статистика Вигнера-Дайсона) движению; для левой статистики </w:t>
      </w:r>
      <m:oMath>
        <m:r>
          <w:rPr>
            <w:rFonts w:ascii="Cambria Math" w:hAnsi="Cambria Math"/>
            <w:lang w:eastAsia="de-DE"/>
          </w:rPr>
          <m:t>K=2</m:t>
        </m:r>
      </m:oMath>
      <w:r w:rsidRPr="00136E68">
        <w:rPr>
          <w:lang w:eastAsia="de-DE"/>
        </w:rPr>
        <w:t xml:space="preserve">, для правой </w:t>
      </w:r>
      <m:oMath>
        <m:r>
          <w:rPr>
            <w:rFonts w:ascii="Cambria Math" w:hAnsi="Cambria Math"/>
            <w:lang w:eastAsia="de-DE"/>
          </w:rPr>
          <m:t>K=3</m:t>
        </m:r>
      </m:oMath>
      <w:r w:rsidRPr="00136E68">
        <w:rPr>
          <w:lang w:eastAsia="de-DE"/>
        </w:rPr>
        <w:t xml:space="preserve">. Статистики построены при следующих значения: </w:t>
      </w:r>
      <m:oMath>
        <m:r>
          <w:rPr>
            <w:rFonts w:ascii="Cambria Math" w:hAnsi="Cambria Math"/>
            <w:lang w:eastAsia="de-DE"/>
          </w:rPr>
          <m:t>j=40,  β=0.1,  τ=1,  p=1.7.</m:t>
        </m:r>
      </m:oMath>
    </w:p>
    <w:p w14:paraId="3D105E2E" w14:textId="77777777" w:rsidR="009035AA" w:rsidRPr="00136E68" w:rsidRDefault="009035AA" w:rsidP="0054175A">
      <w:pPr>
        <w:ind w:firstLine="709"/>
        <w:jc w:val="both"/>
        <w:rPr>
          <w:lang w:eastAsia="de-DE"/>
        </w:rPr>
      </w:pPr>
      <w:r w:rsidRPr="00136E68"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46BC1076" wp14:editId="37D05316">
            <wp:simplePos x="0" y="0"/>
            <wp:positionH relativeFrom="column">
              <wp:posOffset>772160</wp:posOffset>
            </wp:positionH>
            <wp:positionV relativeFrom="paragraph">
              <wp:posOffset>131586</wp:posOffset>
            </wp:positionV>
            <wp:extent cx="4633595" cy="3160395"/>
            <wp:effectExtent l="0" t="0" r="1905" b="1905"/>
            <wp:wrapTight wrapText="bothSides">
              <wp:wrapPolygon edited="0">
                <wp:start x="0" y="0"/>
                <wp:lineTo x="0" y="21526"/>
                <wp:lineTo x="21550" y="21526"/>
                <wp:lineTo x="21550" y="0"/>
                <wp:lineTo x="0" y="0"/>
              </wp:wrapPolygon>
            </wp:wrapTight>
            <wp:docPr id="122476746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767468" name="Рисунок 1224767468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3595" cy="316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9CC59" w14:textId="77777777" w:rsidR="00254DC1" w:rsidRPr="00136E68" w:rsidRDefault="00254DC1" w:rsidP="0054175A">
      <w:pPr>
        <w:jc w:val="both"/>
        <w:rPr>
          <w:lang w:eastAsia="de-DE"/>
        </w:rPr>
      </w:pPr>
    </w:p>
    <w:p w14:paraId="052150AC" w14:textId="77777777" w:rsidR="009035AA" w:rsidRDefault="009035AA" w:rsidP="0054175A">
      <w:pPr>
        <w:ind w:firstLine="426"/>
        <w:jc w:val="both"/>
      </w:pPr>
    </w:p>
    <w:p w14:paraId="6A207DE5" w14:textId="77777777" w:rsidR="009035AA" w:rsidRDefault="009035AA" w:rsidP="0054175A">
      <w:pPr>
        <w:ind w:firstLine="426"/>
        <w:jc w:val="both"/>
      </w:pPr>
    </w:p>
    <w:p w14:paraId="7B8AA8DB" w14:textId="77777777" w:rsidR="009035AA" w:rsidRDefault="009035AA" w:rsidP="0054175A">
      <w:pPr>
        <w:ind w:firstLine="426"/>
        <w:jc w:val="both"/>
      </w:pPr>
    </w:p>
    <w:p w14:paraId="117CE4A1" w14:textId="77777777" w:rsidR="009035AA" w:rsidRDefault="009035AA" w:rsidP="0054175A">
      <w:pPr>
        <w:ind w:firstLine="426"/>
        <w:jc w:val="both"/>
      </w:pPr>
    </w:p>
    <w:p w14:paraId="7F5BACC2" w14:textId="77777777" w:rsidR="009035AA" w:rsidRDefault="009035AA" w:rsidP="0054175A">
      <w:pPr>
        <w:ind w:firstLine="426"/>
        <w:jc w:val="both"/>
      </w:pPr>
    </w:p>
    <w:p w14:paraId="7AFF781F" w14:textId="77777777" w:rsidR="009035AA" w:rsidRDefault="009035AA" w:rsidP="0054175A">
      <w:pPr>
        <w:ind w:firstLine="426"/>
        <w:jc w:val="both"/>
      </w:pPr>
    </w:p>
    <w:p w14:paraId="35B041F6" w14:textId="77777777" w:rsidR="009035AA" w:rsidRDefault="009035AA" w:rsidP="0054175A">
      <w:pPr>
        <w:ind w:firstLine="426"/>
        <w:jc w:val="both"/>
      </w:pPr>
    </w:p>
    <w:p w14:paraId="45DF4838" w14:textId="77777777" w:rsidR="009035AA" w:rsidRDefault="009035AA" w:rsidP="0054175A">
      <w:pPr>
        <w:ind w:firstLine="426"/>
        <w:jc w:val="both"/>
      </w:pPr>
    </w:p>
    <w:p w14:paraId="21E25B9F" w14:textId="77777777" w:rsidR="009035AA" w:rsidRDefault="009035AA" w:rsidP="0054175A">
      <w:pPr>
        <w:ind w:firstLine="426"/>
        <w:jc w:val="both"/>
      </w:pPr>
    </w:p>
    <w:p w14:paraId="03E19CFC" w14:textId="77777777" w:rsidR="009035AA" w:rsidRDefault="009035AA" w:rsidP="0054175A">
      <w:pPr>
        <w:ind w:firstLine="426"/>
        <w:jc w:val="both"/>
      </w:pPr>
    </w:p>
    <w:p w14:paraId="01502832" w14:textId="77777777" w:rsidR="009035AA" w:rsidRDefault="009035AA" w:rsidP="0054175A">
      <w:pPr>
        <w:ind w:firstLine="426"/>
        <w:jc w:val="both"/>
      </w:pPr>
    </w:p>
    <w:p w14:paraId="7B22C5ED" w14:textId="77777777" w:rsidR="009035AA" w:rsidRDefault="009035AA" w:rsidP="0054175A">
      <w:pPr>
        <w:ind w:firstLine="426"/>
        <w:jc w:val="both"/>
      </w:pPr>
    </w:p>
    <w:p w14:paraId="0010050C" w14:textId="77777777" w:rsidR="009035AA" w:rsidRDefault="009035AA" w:rsidP="0054175A">
      <w:pPr>
        <w:ind w:firstLine="426"/>
        <w:jc w:val="both"/>
      </w:pPr>
    </w:p>
    <w:p w14:paraId="019E4440" w14:textId="77777777" w:rsidR="009035AA" w:rsidRDefault="009035AA" w:rsidP="0054175A">
      <w:pPr>
        <w:ind w:firstLine="426"/>
        <w:jc w:val="both"/>
      </w:pPr>
    </w:p>
    <w:p w14:paraId="2FAD0925" w14:textId="77777777" w:rsidR="009035AA" w:rsidRDefault="009035AA" w:rsidP="0054175A">
      <w:pPr>
        <w:ind w:firstLine="426"/>
        <w:jc w:val="both"/>
      </w:pPr>
    </w:p>
    <w:p w14:paraId="1C4492EC" w14:textId="77777777" w:rsidR="009035AA" w:rsidRDefault="009035AA" w:rsidP="0054175A">
      <w:pPr>
        <w:ind w:firstLine="426"/>
        <w:jc w:val="both"/>
      </w:pPr>
    </w:p>
    <w:p w14:paraId="0DC532AB" w14:textId="77777777" w:rsidR="009035AA" w:rsidRDefault="009035AA" w:rsidP="0054175A">
      <w:pPr>
        <w:ind w:firstLine="426"/>
        <w:jc w:val="both"/>
      </w:pPr>
    </w:p>
    <w:p w14:paraId="61356FCF" w14:textId="77777777" w:rsidR="00136E68" w:rsidRDefault="00136E68" w:rsidP="0054175A">
      <w:pPr>
        <w:ind w:firstLine="426"/>
        <w:jc w:val="both"/>
      </w:pPr>
      <w:r w:rsidRPr="00136E68">
        <w:t>Рис. 2</w:t>
      </w:r>
      <w:r w:rsidR="009035AA">
        <w:t xml:space="preserve"> </w:t>
      </w:r>
      <w:r w:rsidRPr="00136E68">
        <w:t xml:space="preserve">Производство энтропии в зависимости от величины параметра удара </w:t>
      </w:r>
      <m:oMath>
        <m:r>
          <w:rPr>
            <w:rFonts w:ascii="Cambria Math" w:hAnsi="Cambria Math"/>
          </w:rPr>
          <m:t>K</m:t>
        </m:r>
      </m:oMath>
      <w:r w:rsidRPr="00136E68">
        <w:t xml:space="preserve">. Можно видеть резкое увеличение производства энтропии в области перехода динамики из интегрируемой в хаотическую. Расчет проводился для двух разных квантовых чисел волчка с толчками </w:t>
      </w:r>
      <m:oMath>
        <m:r>
          <w:rPr>
            <w:rFonts w:ascii="Cambria Math" w:hAnsi="Cambria Math"/>
          </w:rPr>
          <m:t xml:space="preserve">j= </m:t>
        </m:r>
      </m:oMath>
      <w:r w:rsidRPr="00136E68">
        <w:t xml:space="preserve">20 (нижняя кривая), для </w:t>
      </w:r>
      <m:oMath>
        <m:r>
          <w:rPr>
            <w:rFonts w:ascii="Cambria Math" w:hAnsi="Cambria Math"/>
          </w:rPr>
          <m:t>j=40</m:t>
        </m:r>
      </m:oMath>
      <w:r w:rsidRPr="00136E68">
        <w:t xml:space="preserve"> (верхняя кривая)</w:t>
      </w:r>
    </w:p>
    <w:p w14:paraId="5A0F400C" w14:textId="77777777" w:rsidR="004B2DA6" w:rsidRPr="004B2DA6" w:rsidRDefault="004B2DA6" w:rsidP="0054175A">
      <w:pPr>
        <w:ind w:firstLine="426"/>
        <w:jc w:val="both"/>
      </w:pPr>
    </w:p>
    <w:p w14:paraId="16190320" w14:textId="77777777" w:rsidR="00254DC1" w:rsidRPr="00136E68" w:rsidRDefault="00254DC1" w:rsidP="0054175A">
      <w:pPr>
        <w:jc w:val="center"/>
        <w:rPr>
          <w:b/>
          <w:color w:val="000000"/>
          <w:shd w:val="clear" w:color="auto" w:fill="FFFFFF"/>
        </w:rPr>
      </w:pPr>
      <w:r w:rsidRPr="00136E68">
        <w:rPr>
          <w:b/>
          <w:color w:val="000000"/>
          <w:shd w:val="clear" w:color="auto" w:fill="FFFFFF"/>
        </w:rPr>
        <w:t>Литература</w:t>
      </w:r>
    </w:p>
    <w:p w14:paraId="58999247" w14:textId="77777777" w:rsidR="00254DC1" w:rsidRPr="00136E68" w:rsidRDefault="00254DC1" w:rsidP="0054175A">
      <w:pPr>
        <w:pStyle w:val="a8"/>
        <w:numPr>
          <w:ilvl w:val="0"/>
          <w:numId w:val="2"/>
        </w:numPr>
        <w:jc w:val="both"/>
        <w:rPr>
          <w:lang w:val="en-US"/>
        </w:rPr>
      </w:pPr>
      <w:r w:rsidRPr="00136E68">
        <w:rPr>
          <w:lang w:val="en-US" w:eastAsia="en-US"/>
        </w:rPr>
        <w:t>M. Berry, “Chaos and the semiclassical limit of quantum mechanics (is the moon there</w:t>
      </w:r>
      <w:r w:rsidR="00382909" w:rsidRPr="00382909">
        <w:rPr>
          <w:lang w:val="en-US" w:eastAsia="en-US"/>
        </w:rPr>
        <w:t xml:space="preserve"> </w:t>
      </w:r>
      <w:r w:rsidRPr="00136E68">
        <w:rPr>
          <w:lang w:val="en-US" w:eastAsia="en-US"/>
        </w:rPr>
        <w:t>when somebody looks?)”, Quantum Mechanics: scientific perspectives on Divine</w:t>
      </w:r>
      <w:r w:rsidR="00382909" w:rsidRPr="00382909">
        <w:rPr>
          <w:lang w:val="en-US" w:eastAsia="en-US"/>
        </w:rPr>
        <w:t xml:space="preserve"> </w:t>
      </w:r>
      <w:r w:rsidRPr="00136E68">
        <w:rPr>
          <w:lang w:val="en-US" w:eastAsia="en-US"/>
        </w:rPr>
        <w:t>Action (Vatican Observatory CTNS publications 2001).</w:t>
      </w:r>
    </w:p>
    <w:p w14:paraId="168D9BB7" w14:textId="77777777" w:rsidR="00254DC1" w:rsidRPr="00136E68" w:rsidRDefault="00254DC1" w:rsidP="0054175A">
      <w:pPr>
        <w:pStyle w:val="a8"/>
        <w:numPr>
          <w:ilvl w:val="0"/>
          <w:numId w:val="2"/>
        </w:numPr>
        <w:jc w:val="both"/>
        <w:rPr>
          <w:lang w:val="en-US"/>
        </w:rPr>
      </w:pPr>
      <w:r w:rsidRPr="00136E68">
        <w:rPr>
          <w:lang w:val="en-US"/>
        </w:rPr>
        <w:t>E. A. Polyakov, “Beyond The Fermi’s Golden Rule: Discrete-Time Decoherence Of</w:t>
      </w:r>
      <w:r w:rsidR="00382909" w:rsidRPr="00382909">
        <w:rPr>
          <w:lang w:val="en-US"/>
        </w:rPr>
        <w:t xml:space="preserve"> </w:t>
      </w:r>
      <w:r w:rsidRPr="00136E68">
        <w:rPr>
          <w:lang w:val="en-US"/>
        </w:rPr>
        <w:t>Quantum Mesoscopic Devices Due To Bandlimited Quantum Noise” arXiv preprint</w:t>
      </w:r>
      <w:r w:rsidR="00382909" w:rsidRPr="00382909">
        <w:rPr>
          <w:lang w:val="en-US"/>
        </w:rPr>
        <w:t xml:space="preserve"> </w:t>
      </w:r>
      <w:r w:rsidRPr="00136E68">
        <w:rPr>
          <w:lang w:val="en-US"/>
        </w:rPr>
        <w:t>arXiv:2206.02952 (2022).</w:t>
      </w:r>
    </w:p>
    <w:p w14:paraId="519B80DD" w14:textId="77777777" w:rsidR="00254DC1" w:rsidRPr="00136E68" w:rsidRDefault="00254DC1" w:rsidP="0054175A">
      <w:pPr>
        <w:pStyle w:val="a8"/>
        <w:numPr>
          <w:ilvl w:val="0"/>
          <w:numId w:val="2"/>
        </w:numPr>
        <w:jc w:val="both"/>
        <w:rPr>
          <w:lang w:val="en-US"/>
        </w:rPr>
      </w:pPr>
      <w:r w:rsidRPr="00136E68">
        <w:rPr>
          <w:lang w:val="en-US"/>
        </w:rPr>
        <w:t>F. Haake, M. Kuś, and R. Scharf, “Classical and quantum chaos for a kicked top”,</w:t>
      </w:r>
      <w:r w:rsidR="00382909" w:rsidRPr="00382909">
        <w:rPr>
          <w:lang w:val="en-US"/>
        </w:rPr>
        <w:t xml:space="preserve"> </w:t>
      </w:r>
      <w:r w:rsidRPr="00136E68">
        <w:rPr>
          <w:lang w:val="en-US"/>
        </w:rPr>
        <w:t>Zeitschrift für Physik B Condensed Matter 65, 381 (1987).</w:t>
      </w:r>
    </w:p>
    <w:sectPr w:rsidR="00254DC1" w:rsidRPr="00136E68" w:rsidSect="00370B8E">
      <w:footerReference w:type="even" r:id="rId13"/>
      <w:footerReference w:type="default" r:id="rId14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F4907" w14:textId="77777777" w:rsidR="00370B8E" w:rsidRDefault="00370B8E">
      <w:r>
        <w:separator/>
      </w:r>
    </w:p>
  </w:endnote>
  <w:endnote w:type="continuationSeparator" w:id="0">
    <w:p w14:paraId="06FA14B2" w14:textId="77777777" w:rsidR="00370B8E" w:rsidRDefault="0037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3FFC" w14:textId="77777777" w:rsidR="0090057F" w:rsidRDefault="00000000" w:rsidP="007C425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0F8749F" w14:textId="77777777" w:rsidR="0090057F" w:rsidRDefault="0090057F" w:rsidP="0010191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880C6" w14:textId="77777777" w:rsidR="0090057F" w:rsidRDefault="0090057F" w:rsidP="0010191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2DFDA" w14:textId="77777777" w:rsidR="00370B8E" w:rsidRDefault="00370B8E">
      <w:r>
        <w:separator/>
      </w:r>
    </w:p>
  </w:footnote>
  <w:footnote w:type="continuationSeparator" w:id="0">
    <w:p w14:paraId="1F80C1AC" w14:textId="77777777" w:rsidR="00370B8E" w:rsidRDefault="00370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65645"/>
    <w:multiLevelType w:val="hybridMultilevel"/>
    <w:tmpl w:val="9B849EB4"/>
    <w:lvl w:ilvl="0" w:tplc="58AAC844">
      <w:start w:val="1"/>
      <w:numFmt w:val="decimal"/>
      <w:pStyle w:val="References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E7CF0"/>
    <w:multiLevelType w:val="hybridMultilevel"/>
    <w:tmpl w:val="7B665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528142">
    <w:abstractNumId w:val="0"/>
  </w:num>
  <w:num w:numId="2" w16cid:durableId="1256597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C1"/>
    <w:rsid w:val="0001599F"/>
    <w:rsid w:val="00051814"/>
    <w:rsid w:val="00084226"/>
    <w:rsid w:val="00136E68"/>
    <w:rsid w:val="001C6127"/>
    <w:rsid w:val="00254DC1"/>
    <w:rsid w:val="00370B8E"/>
    <w:rsid w:val="00382909"/>
    <w:rsid w:val="003C3FFA"/>
    <w:rsid w:val="00496967"/>
    <w:rsid w:val="004B2DA6"/>
    <w:rsid w:val="00523E94"/>
    <w:rsid w:val="0054175A"/>
    <w:rsid w:val="0057221C"/>
    <w:rsid w:val="005F5818"/>
    <w:rsid w:val="008E1066"/>
    <w:rsid w:val="008E693E"/>
    <w:rsid w:val="0090057F"/>
    <w:rsid w:val="009026A2"/>
    <w:rsid w:val="009035AA"/>
    <w:rsid w:val="009303DF"/>
    <w:rsid w:val="009429AE"/>
    <w:rsid w:val="009C7062"/>
    <w:rsid w:val="009E1074"/>
    <w:rsid w:val="00C063BD"/>
    <w:rsid w:val="00F2458B"/>
    <w:rsid w:val="00F2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D29AA"/>
  <w15:chartTrackingRefBased/>
  <w15:docId w15:val="{27CF37B3-6A6B-A142-B2F6-74BA8507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C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254DC1"/>
    <w:rPr>
      <w:i/>
      <w:iCs/>
    </w:rPr>
  </w:style>
  <w:style w:type="character" w:customStyle="1" w:styleId="apple-converted-space">
    <w:name w:val="apple-converted-space"/>
    <w:basedOn w:val="a0"/>
    <w:rsid w:val="00254DC1"/>
  </w:style>
  <w:style w:type="paragraph" w:styleId="a4">
    <w:name w:val="footer"/>
    <w:basedOn w:val="a"/>
    <w:link w:val="a5"/>
    <w:rsid w:val="00254DC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54DC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6">
    <w:name w:val="page number"/>
    <w:basedOn w:val="a0"/>
    <w:rsid w:val="00254DC1"/>
  </w:style>
  <w:style w:type="paragraph" w:customStyle="1" w:styleId="BodyL">
    <w:name w:val="BodyL."/>
    <w:basedOn w:val="a"/>
    <w:rsid w:val="00254DC1"/>
    <w:pPr>
      <w:spacing w:line="360" w:lineRule="auto"/>
      <w:ind w:firstLine="567"/>
      <w:jc w:val="both"/>
    </w:pPr>
    <w:rPr>
      <w:szCs w:val="20"/>
      <w:lang w:eastAsia="en-US"/>
    </w:rPr>
  </w:style>
  <w:style w:type="paragraph" w:customStyle="1" w:styleId="References">
    <w:name w:val="References"/>
    <w:basedOn w:val="a"/>
    <w:rsid w:val="00254DC1"/>
    <w:pPr>
      <w:numPr>
        <w:numId w:val="1"/>
      </w:numPr>
      <w:spacing w:line="360" w:lineRule="auto"/>
      <w:jc w:val="both"/>
    </w:pPr>
    <w:rPr>
      <w:szCs w:val="20"/>
      <w:lang w:eastAsia="en-US"/>
    </w:rPr>
  </w:style>
  <w:style w:type="character" w:styleId="a7">
    <w:name w:val="Placeholder Text"/>
    <w:basedOn w:val="a0"/>
    <w:uiPriority w:val="99"/>
    <w:semiHidden/>
    <w:rsid w:val="00254DC1"/>
    <w:rPr>
      <w:color w:val="666666"/>
    </w:rPr>
  </w:style>
  <w:style w:type="paragraph" w:styleId="a8">
    <w:name w:val="List Paragraph"/>
    <w:basedOn w:val="a"/>
    <w:uiPriority w:val="34"/>
    <w:qFormat/>
    <w:rsid w:val="00254DC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36E6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36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Иван Кучумов</cp:lastModifiedBy>
  <cp:revision>3</cp:revision>
  <dcterms:created xsi:type="dcterms:W3CDTF">2024-02-16T17:04:00Z</dcterms:created>
  <dcterms:modified xsi:type="dcterms:W3CDTF">2024-02-16T18:29:00Z</dcterms:modified>
</cp:coreProperties>
</file>