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46" w:rsidRDefault="000F3646" w:rsidP="000F3646">
      <w:pPr>
        <w:pStyle w:val="a7"/>
        <w:pageBreakBefore/>
        <w:spacing w:after="119" w:line="200" w:lineRule="atLeast"/>
        <w:jc w:val="center"/>
        <w:rPr>
          <w:rStyle w:val="1"/>
          <w:b/>
          <w:i/>
        </w:rPr>
      </w:pPr>
      <w:r>
        <w:rPr>
          <w:rStyle w:val="1"/>
          <w:b/>
          <w:i/>
          <w:iCs/>
          <w:color w:val="333333"/>
        </w:rPr>
        <w:t>Вывод нелинейных уравнений в теории открытых квантовых систем.</w:t>
      </w:r>
    </w:p>
    <w:p w:rsidR="000F3646" w:rsidRDefault="000F3646" w:rsidP="000F3646">
      <w:pPr>
        <w:pStyle w:val="a7"/>
        <w:spacing w:after="0" w:line="200" w:lineRule="atLeast"/>
        <w:jc w:val="center"/>
        <w:rPr>
          <w:i/>
        </w:rPr>
      </w:pPr>
      <w:proofErr w:type="spellStart"/>
      <w:r>
        <w:rPr>
          <w:rStyle w:val="1"/>
          <w:b/>
          <w:i/>
        </w:rPr>
        <w:t>Меретуков</w:t>
      </w:r>
      <w:proofErr w:type="spellEnd"/>
      <w:r>
        <w:rPr>
          <w:rStyle w:val="1"/>
          <w:b/>
          <w:i/>
        </w:rPr>
        <w:t xml:space="preserve"> Х.Ш.</w:t>
      </w:r>
    </w:p>
    <w:p w:rsidR="000F3646" w:rsidRDefault="000F3646" w:rsidP="000F3646">
      <w:pPr>
        <w:pStyle w:val="a7"/>
        <w:spacing w:after="0" w:line="200" w:lineRule="atLeast"/>
        <w:jc w:val="center"/>
        <w:rPr>
          <w:i/>
        </w:rPr>
      </w:pPr>
      <w:r>
        <w:rPr>
          <w:i/>
        </w:rPr>
        <w:t>Студент</w:t>
      </w:r>
    </w:p>
    <w:p w:rsidR="000F3646" w:rsidRDefault="000F3646" w:rsidP="000F3646">
      <w:pPr>
        <w:pStyle w:val="a7"/>
        <w:spacing w:after="0" w:line="200" w:lineRule="atLeast"/>
        <w:jc w:val="center"/>
        <w:rPr>
          <w:rStyle w:val="1"/>
          <w:i/>
        </w:rPr>
      </w:pPr>
      <w:r>
        <w:rPr>
          <w:i/>
        </w:rPr>
        <w:t>Московский университет имени Ломоносова, физический факультет, г. Москва, Россия</w:t>
      </w:r>
    </w:p>
    <w:p w:rsidR="000F3646" w:rsidRDefault="000F3646" w:rsidP="000F3646">
      <w:pPr>
        <w:pStyle w:val="a7"/>
        <w:spacing w:after="113" w:line="200" w:lineRule="atLeast"/>
        <w:jc w:val="center"/>
        <w:rPr>
          <w:color w:val="333333"/>
        </w:rPr>
      </w:pPr>
      <w:r>
        <w:rPr>
          <w:rStyle w:val="1"/>
          <w:i/>
        </w:rPr>
        <w:t>E-</w:t>
      </w:r>
      <w:proofErr w:type="spellStart"/>
      <w:r>
        <w:rPr>
          <w:rStyle w:val="1"/>
          <w:i/>
        </w:rPr>
        <w:t>mail</w:t>
      </w:r>
      <w:proofErr w:type="spellEnd"/>
      <w:r>
        <w:rPr>
          <w:rStyle w:val="1"/>
          <w:i/>
        </w:rPr>
        <w:t xml:space="preserve">: </w:t>
      </w:r>
      <w:hyperlink r:id="rId5" w:anchor="_blank" w:history="1">
        <w:r>
          <w:rPr>
            <w:rStyle w:val="10"/>
            <w:i/>
          </w:rPr>
          <w:t>violblink@gmail.com</w:t>
        </w:r>
      </w:hyperlink>
    </w:p>
    <w:p w:rsidR="000F3646" w:rsidRDefault="000F3646" w:rsidP="000F3646">
      <w:pPr>
        <w:pStyle w:val="a7"/>
        <w:spacing w:line="200" w:lineRule="atLeast"/>
        <w:ind w:firstLine="397"/>
        <w:jc w:val="both"/>
        <w:rPr>
          <w:rStyle w:val="1"/>
          <w:color w:val="333333"/>
        </w:rPr>
      </w:pPr>
      <w:r>
        <w:rPr>
          <w:color w:val="333333"/>
        </w:rPr>
        <w:t>Физика открытых квантовых систем занимается исследованием систем, которые могут обмениваться энергией и веществом со своим окружением. Такие системы распространены в большом спектре областей, также почти все реальные системы являются открытыми. Поэтому исследование таких систем является актуальной задачей и данная отрасль активно развивается в последнее время. Основной идей является то, что система и ее окружение вместе образуют одну закрытую систему, которая эволюционирует в соответствии с обычными законами квантовой механики. Однако</w:t>
      </w:r>
      <w:proofErr w:type="gramStart"/>
      <w:r>
        <w:rPr>
          <w:color w:val="333333"/>
        </w:rPr>
        <w:t>,</w:t>
      </w:r>
      <w:proofErr w:type="gramEnd"/>
      <w:r>
        <w:rPr>
          <w:color w:val="333333"/>
        </w:rPr>
        <w:t xml:space="preserve"> при таком подходе мы получаем информацию не только о системе, но и об окружении. Для того</w:t>
      </w:r>
      <w:proofErr w:type="gramStart"/>
      <w:r>
        <w:rPr>
          <w:color w:val="333333"/>
        </w:rPr>
        <w:t>,</w:t>
      </w:r>
      <w:proofErr w:type="gramEnd"/>
      <w:r>
        <w:rPr>
          <w:color w:val="333333"/>
        </w:rPr>
        <w:t xml:space="preserve"> чтобы выделить из этой информации интересующую нас, надо выделить подсистему.</w:t>
      </w:r>
    </w:p>
    <w:p w:rsidR="000F3646" w:rsidRDefault="000F3646" w:rsidP="000F3646">
      <w:pPr>
        <w:pStyle w:val="a7"/>
        <w:ind w:firstLine="397"/>
        <w:jc w:val="both"/>
      </w:pPr>
      <w:r>
        <w:rPr>
          <w:rStyle w:val="1"/>
          <w:color w:val="333333"/>
        </w:rPr>
        <w:t xml:space="preserve">Существует несколько подходов к выводу уравнений, описывающих открытую систему. Одним из самых распространенных подходов является проекционный метод </w:t>
      </w:r>
      <w:proofErr w:type="spellStart"/>
      <w:r>
        <w:rPr>
          <w:rStyle w:val="1"/>
          <w:color w:val="333333"/>
        </w:rPr>
        <w:t>Накажимы-Цванцига</w:t>
      </w:r>
      <w:proofErr w:type="spellEnd"/>
      <w:r>
        <w:rPr>
          <w:rStyle w:val="1"/>
          <w:color w:val="333333"/>
        </w:rPr>
        <w:t xml:space="preserve">. Он позволяет получить уравнения, не зависимые от вида проектора, а значит не зависимые от способа выделения подсистемы. Существует несколько способов выделения подсистемы. Один из них - обычное усреднение по степеням свободы окружения, соответствующий проектору </w:t>
      </w:r>
      <w:proofErr w:type="spellStart"/>
      <w:r>
        <w:rPr>
          <w:rStyle w:val="1"/>
          <w:color w:val="333333"/>
        </w:rPr>
        <w:t>Алджироса</w:t>
      </w:r>
      <w:proofErr w:type="spellEnd"/>
      <w:r>
        <w:rPr>
          <w:rStyle w:val="1"/>
          <w:color w:val="333333"/>
        </w:rPr>
        <w:t>-Келли.</w:t>
      </w:r>
    </w:p>
    <w:p w:rsidR="000F3646" w:rsidRPr="00021842" w:rsidRDefault="00870157" w:rsidP="000F3646">
      <w:pPr>
        <w:pStyle w:val="a7"/>
        <w:ind w:firstLine="397"/>
        <w:jc w:val="center"/>
        <w:rPr>
          <w:rStyle w:val="1"/>
          <w:b/>
          <w:i/>
          <w:color w:val="333333"/>
          <w:lang w:val="en-US"/>
        </w:rPr>
      </w:pPr>
      <m:oMathPara>
        <m:oMath>
          <m:sSub>
            <m:sSub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sSub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P</m:t>
              </m:r>
            </m:e>
            <m:sub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AK</m:t>
              </m:r>
            </m:sub>
          </m:sSub>
          <m:d>
            <m:d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d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t</m:t>
              </m:r>
            </m:e>
          </m:d>
          <m:r>
            <w:rPr>
              <w:rStyle w:val="1"/>
              <w:rFonts w:ascii="Cambria Math" w:hAnsi="Cambria Math"/>
              <w:color w:val="333333"/>
              <w:lang w:val="en-US"/>
            </w:rPr>
            <m:t>X=</m:t>
          </m:r>
          <m:sSub>
            <m:sSub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sSub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Tr</m:t>
              </m:r>
            </m:e>
            <m:sub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B</m:t>
              </m:r>
            </m:sub>
          </m:sSub>
          <m:r>
            <w:rPr>
              <w:rStyle w:val="1"/>
              <w:rFonts w:ascii="Cambria Math" w:hAnsi="Cambria Math"/>
              <w:color w:val="333333"/>
              <w:lang w:val="en-US"/>
            </w:rPr>
            <m:t>X⊗</m:t>
          </m:r>
          <m:sSub>
            <m:sSub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sSub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ρ</m:t>
              </m:r>
            </m:e>
            <m:sub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B</m:t>
              </m:r>
            </m:sub>
          </m:sSub>
          <m:d>
            <m:d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d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t</m:t>
              </m:r>
            </m:e>
          </m:d>
          <m:r>
            <w:rPr>
              <w:rStyle w:val="1"/>
              <w:rFonts w:ascii="Cambria Math" w:hAnsi="Cambria Math"/>
              <w:color w:val="333333"/>
              <w:lang w:val="en-US"/>
            </w:rPr>
            <m:t>,</m:t>
          </m:r>
        </m:oMath>
      </m:oMathPara>
    </w:p>
    <w:p w:rsidR="000F3646" w:rsidRDefault="000F3646" w:rsidP="000F3646">
      <w:pPr>
        <w:pStyle w:val="a7"/>
        <w:ind w:firstLine="397"/>
        <w:jc w:val="both"/>
        <w:rPr>
          <w:color w:val="333333"/>
        </w:rPr>
      </w:pPr>
      <w:r>
        <w:rPr>
          <w:rStyle w:val="1"/>
          <w:color w:val="333333"/>
        </w:rPr>
        <w:t>где</w:t>
      </w:r>
      <w:proofErr w:type="gramStart"/>
      <w:r>
        <w:rPr>
          <w:rStyle w:val="1"/>
          <w:color w:val="333333"/>
        </w:rPr>
        <w:t xml:space="preserve"> </w:t>
      </w:r>
      <m:oMath>
        <m:sSub>
          <m:sSub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sSubPr>
          <m:e>
            <m:r>
              <w:rPr>
                <w:rStyle w:val="1"/>
                <w:rFonts w:ascii="Cambria Math" w:hAnsi="Cambria Math"/>
                <w:color w:val="333333"/>
              </w:rPr>
              <m:t>ρ</m:t>
            </m:r>
          </m:e>
          <m:sub>
            <m:r>
              <w:rPr>
                <w:rStyle w:val="1"/>
                <w:rFonts w:ascii="Cambria Math" w:hAnsi="Cambria Math"/>
                <w:color w:val="333333"/>
              </w:rPr>
              <m:t>B</m:t>
            </m:r>
          </m:sub>
        </m:sSub>
        <m:r>
          <w:rPr>
            <w:rStyle w:val="1"/>
            <w:rFonts w:ascii="Cambria Math" w:hAnsi="Cambria Math"/>
            <w:color w:val="333333"/>
          </w:rPr>
          <m:t>(t)</m:t>
        </m:r>
      </m:oMath>
      <w:r>
        <w:rPr>
          <w:rStyle w:val="1"/>
          <w:color w:val="333333"/>
        </w:rPr>
        <w:t xml:space="preserve"> – </w:t>
      </w:r>
      <w:proofErr w:type="gramEnd"/>
      <w:r>
        <w:rPr>
          <w:rStyle w:val="1"/>
          <w:color w:val="333333"/>
        </w:rPr>
        <w:t>матрица плотности окружения.</w:t>
      </w:r>
    </w:p>
    <w:p w:rsidR="000F3646" w:rsidRDefault="000F3646" w:rsidP="000F3646">
      <w:pPr>
        <w:pStyle w:val="a7"/>
        <w:ind w:firstLine="397"/>
        <w:jc w:val="both"/>
        <w:rPr>
          <w:color w:val="333333"/>
        </w:rPr>
      </w:pPr>
    </w:p>
    <w:p w:rsidR="000F3646" w:rsidRDefault="000F3646" w:rsidP="000F3646">
      <w:pPr>
        <w:pStyle w:val="a7"/>
        <w:ind w:firstLine="397"/>
        <w:jc w:val="both"/>
        <w:rPr>
          <w:rStyle w:val="1"/>
          <w:b/>
          <w:color w:val="333333"/>
        </w:rPr>
      </w:pPr>
      <w:r>
        <w:rPr>
          <w:rStyle w:val="1"/>
          <w:color w:val="333333"/>
        </w:rPr>
        <w:t xml:space="preserve">Другой способ заключается в аппроксимации реальной матрицы плотности матрицей плотности, которая определяется неким набором параметров </w:t>
      </w:r>
      <m:oMath>
        <m:sSub>
          <m:sSub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sSubPr>
          <m:e>
            <m:r>
              <w:rPr>
                <w:rStyle w:val="1"/>
                <w:rFonts w:ascii="Cambria Math" w:hAnsi="Cambria Math"/>
                <w:color w:val="333333"/>
              </w:rPr>
              <m:t>P</m:t>
            </m:r>
          </m:e>
          <m:sub>
            <m:r>
              <w:rPr>
                <w:rStyle w:val="1"/>
                <w:rFonts w:ascii="Cambria Math" w:hAnsi="Cambria Math"/>
                <w:color w:val="333333"/>
              </w:rPr>
              <m:t>i</m:t>
            </m:r>
          </m:sub>
        </m:sSub>
      </m:oMath>
      <w:r>
        <w:rPr>
          <w:rStyle w:val="1"/>
          <w:color w:val="333333"/>
        </w:rPr>
        <w:t>. Последний способ, как правило, базируется на проекторе Кавасаки-Гантона. В частности, на нём базируется разработанный недавно термодинамический подход к открытым квантовым системам [1]. Однако</w:t>
      </w:r>
      <w:proofErr w:type="gramStart"/>
      <w:r>
        <w:rPr>
          <w:rStyle w:val="1"/>
          <w:color w:val="333333"/>
        </w:rPr>
        <w:t>,</w:t>
      </w:r>
      <w:proofErr w:type="gramEnd"/>
      <w:r>
        <w:rPr>
          <w:rStyle w:val="1"/>
          <w:color w:val="333333"/>
        </w:rPr>
        <w:t xml:space="preserve"> нами был предложен обобщение проектора Кавасаки-</w:t>
      </w:r>
      <w:proofErr w:type="spellStart"/>
      <w:r>
        <w:rPr>
          <w:rStyle w:val="1"/>
          <w:color w:val="333333"/>
        </w:rPr>
        <w:t>Гантона</w:t>
      </w:r>
      <w:proofErr w:type="spellEnd"/>
      <w:r>
        <w:rPr>
          <w:rStyle w:val="1"/>
          <w:color w:val="333333"/>
        </w:rPr>
        <w:t xml:space="preserve">, позволяющее рассматривать произвольные </w:t>
      </w:r>
      <w:proofErr w:type="spellStart"/>
      <w:r>
        <w:rPr>
          <w:rStyle w:val="1"/>
          <w:color w:val="333333"/>
        </w:rPr>
        <w:t>анзацы</w:t>
      </w:r>
      <w:proofErr w:type="spellEnd"/>
      <w:r>
        <w:rPr>
          <w:rStyle w:val="1"/>
          <w:color w:val="333333"/>
        </w:rPr>
        <w:t xml:space="preserve"> [2], параметризованные некоторыми наблюдаемыми, называемыми релевантными </w:t>
      </w:r>
    </w:p>
    <w:p w:rsidR="000F3646" w:rsidRPr="008D3E9E" w:rsidRDefault="00870157" w:rsidP="000F3646">
      <w:pPr>
        <w:pStyle w:val="a7"/>
        <w:ind w:firstLine="397"/>
        <w:jc w:val="both"/>
        <w:rPr>
          <w:rStyle w:val="1"/>
          <w:rFonts w:ascii="Cambria Math" w:hAnsi="Cambria Math" w:hint="eastAsia"/>
          <w:color w:val="333333"/>
          <w:lang w:val="en-US"/>
          <w:oMath/>
        </w:rPr>
      </w:pPr>
      <m:oMathPara>
        <m:oMath>
          <m:sSub>
            <m:sSubPr>
              <m:ctrlPr>
                <w:rPr>
                  <w:rStyle w:val="1"/>
                  <w:rFonts w:ascii="Cambria Math" w:hAnsi="Cambria Math"/>
                  <w:b/>
                  <w:i/>
                  <w:color w:val="333333"/>
                </w:rPr>
              </m:ctrlPr>
            </m:sSubPr>
            <m:e>
              <m:r>
                <w:rPr>
                  <w:rStyle w:val="1"/>
                  <w:rFonts w:ascii="Cambria Math" w:hAnsi="Cambria Math"/>
                  <w:color w:val="333333"/>
                </w:rPr>
                <m:t>P</m:t>
              </m:r>
            </m:e>
            <m:sub>
              <m:r>
                <w:rPr>
                  <w:rStyle w:val="1"/>
                  <w:rFonts w:ascii="Cambria Math" w:hAnsi="Cambria Math"/>
                  <w:color w:val="333333"/>
                </w:rPr>
                <m:t>KG</m:t>
              </m:r>
            </m:sub>
          </m:sSub>
          <m:r>
            <w:rPr>
              <w:rStyle w:val="1"/>
              <w:rFonts w:ascii="Cambria Math" w:hAnsi="Cambria Math"/>
              <w:color w:val="333333"/>
            </w:rPr>
            <m:t>ρ=</m:t>
          </m:r>
          <m:f>
            <m:fPr>
              <m:ctrlPr>
                <w:rPr>
                  <w:rStyle w:val="1"/>
                  <w:rFonts w:ascii="Cambria Math" w:hAnsi="Cambria Math"/>
                  <w:i/>
                  <w:color w:val="333333"/>
                </w:rPr>
              </m:ctrlPr>
            </m:fPr>
            <m:num>
              <m:r>
                <w:rPr>
                  <w:rStyle w:val="1"/>
                  <w:rFonts w:ascii="Cambria Math" w:hAnsi="Cambria Math"/>
                  <w:color w:val="333333"/>
                </w:rPr>
                <m:t>1</m:t>
              </m:r>
            </m:num>
            <m:den>
              <m:r>
                <w:rPr>
                  <w:rStyle w:val="1"/>
                  <w:rFonts w:ascii="Cambria Math" w:hAnsi="Cambria Math"/>
                  <w:color w:val="333333"/>
                </w:rPr>
                <m:t>Z</m:t>
              </m:r>
            </m:den>
          </m:f>
          <m:sSup>
            <m:sSup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sSup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e</m:t>
              </m:r>
            </m:e>
            <m:sup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Style w:val="1"/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Style w:val="1"/>
                          <w:rFonts w:ascii="Cambria Math" w:hAnsi="Cambria Math"/>
                          <w:i/>
                          <w:color w:val="333333"/>
                          <w:lang w:val="en-US"/>
                        </w:rPr>
                      </m:ctrlPr>
                    </m:sSubPr>
                    <m:e>
                      <m:r>
                        <w:rPr>
                          <w:rStyle w:val="1"/>
                          <w:rFonts w:ascii="Cambria Math" w:hAnsi="Cambria Math"/>
                          <w:color w:val="333333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Style w:val="1"/>
                          <w:rFonts w:ascii="Cambria Math" w:hAnsi="Cambria Math"/>
                          <w:color w:val="333333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Style w:val="1"/>
                          <w:rFonts w:ascii="Cambria Math" w:hAnsi="Cambria Math"/>
                          <w:i/>
                          <w:color w:val="333333"/>
                          <w:lang w:val="en-US"/>
                        </w:rPr>
                      </m:ctrlPr>
                    </m:sSubPr>
                    <m:e>
                      <m:r>
                        <w:rPr>
                          <w:rStyle w:val="1"/>
                          <w:rFonts w:ascii="Cambria Math" w:hAnsi="Cambria Math"/>
                          <w:color w:val="333333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Style w:val="1"/>
                          <w:rFonts w:ascii="Cambria Math" w:hAnsi="Cambria Math"/>
                          <w:color w:val="333333"/>
                          <w:lang w:val="en-US"/>
                        </w:rPr>
                        <m:t>i</m:t>
                      </m:r>
                    </m:sub>
                  </m:sSub>
                </m:e>
              </m:nary>
            </m:sup>
          </m:sSup>
          <m:r>
            <m:rPr>
              <m:sty m:val="p"/>
            </m:rPr>
            <w:rPr>
              <w:rStyle w:val="1"/>
              <w:rFonts w:ascii="Cambria Math" w:hAnsi="Cambria Math"/>
              <w:color w:val="333333"/>
              <w:lang w:val="en-US"/>
            </w:rPr>
            <m:t>.</m:t>
          </m:r>
        </m:oMath>
      </m:oMathPara>
    </w:p>
    <w:p w:rsidR="000F3646" w:rsidRDefault="000F3646" w:rsidP="000F3646">
      <w:pPr>
        <w:pStyle w:val="a7"/>
        <w:ind w:firstLine="397"/>
        <w:jc w:val="both"/>
        <w:rPr>
          <w:rStyle w:val="1"/>
          <w:b/>
          <w:color w:val="333333"/>
        </w:rPr>
      </w:pPr>
      <w:r>
        <w:rPr>
          <w:rStyle w:val="1"/>
          <w:color w:val="333333"/>
        </w:rPr>
        <w:t xml:space="preserve">В данной работе мы исследуем нелинейную модель для затухающего осциллятора (модель Керра с диссипацией) </w:t>
      </w:r>
    </w:p>
    <w:p w:rsidR="000F3646" w:rsidRPr="008D3E9E" w:rsidRDefault="000F3646" w:rsidP="000F3646">
      <w:pPr>
        <w:pStyle w:val="a7"/>
        <w:ind w:firstLine="397"/>
        <w:jc w:val="both"/>
        <w:rPr>
          <w:rStyle w:val="1"/>
          <w:color w:val="333333"/>
          <w:lang w:val="en-US"/>
        </w:rPr>
      </w:pPr>
      <m:oMathPara>
        <m:oMath>
          <m:r>
            <w:rPr>
              <w:rStyle w:val="1"/>
              <w:rFonts w:ascii="Cambria Math" w:hAnsi="Cambria Math"/>
              <w:color w:val="333333"/>
            </w:rPr>
            <m:t>H=-</m:t>
          </m:r>
          <m:r>
            <m:rPr>
              <m:sty m:val="p"/>
            </m:rPr>
            <w:rPr>
              <w:rStyle w:val="1"/>
              <w:rFonts w:ascii="Cambria Math" w:hAnsi="Cambria Math"/>
              <w:color w:val="333333"/>
            </w:rPr>
            <m:t>Δ</m:t>
          </m:r>
          <m:sSup>
            <m:sSupPr>
              <m:ctrlPr>
                <w:rPr>
                  <w:rStyle w:val="1"/>
                  <w:rFonts w:ascii="Cambria Math" w:hAnsi="Cambria Math"/>
                  <w:i/>
                  <w:color w:val="333333"/>
                </w:rPr>
              </m:ctrlPr>
            </m:sSupPr>
            <m:e>
              <m:r>
                <w:rPr>
                  <w:rStyle w:val="1"/>
                  <w:rFonts w:ascii="Cambria Math" w:hAnsi="Cambria Math"/>
                  <w:color w:val="333333"/>
                </w:rPr>
                <m:t>a</m:t>
              </m:r>
              <m:r>
                <m:rPr>
                  <m:sty m:val="p"/>
                </m:rPr>
                <w:rPr>
                  <w:rStyle w:val="1"/>
                  <w:rFonts w:ascii="Cambria Math" w:hAnsi="Cambria Math"/>
                  <w:color w:val="333333"/>
                  <w:lang w:val="en-US"/>
                </w:rPr>
                <w:softHyphen/>
              </m:r>
            </m:e>
            <m:sup>
              <m:r>
                <w:rPr>
                  <w:rStyle w:val="1"/>
                  <w:rFonts w:ascii="Cambria Math" w:hAnsi="Cambria Math"/>
                  <w:color w:val="333333"/>
                </w:rPr>
                <m:t>+</m:t>
              </m:r>
            </m:sup>
          </m:sSup>
          <m:r>
            <w:rPr>
              <w:rStyle w:val="1"/>
              <w:rFonts w:ascii="Cambria Math" w:hAnsi="Cambria Math"/>
              <w:color w:val="333333"/>
              <w:lang w:val="en-US"/>
            </w:rPr>
            <m:t>a+</m:t>
          </m:r>
          <m:f>
            <m:f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fPr>
            <m:num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χ</m:t>
              </m:r>
            </m:num>
            <m:den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2</m:t>
              </m:r>
            </m:den>
          </m:f>
          <m:sSup>
            <m:sSupPr>
              <m:ctrlPr>
                <w:rPr>
                  <w:rStyle w:val="1"/>
                  <w:rFonts w:ascii="Cambria Math" w:hAnsi="Cambria Math"/>
                  <w:i/>
                  <w:color w:val="333333"/>
                </w:rPr>
              </m:ctrlPr>
            </m:sSupPr>
            <m:e>
              <m:sSup>
                <m:sSupPr>
                  <m:ctrlPr>
                    <w:rPr>
                      <w:rStyle w:val="1"/>
                      <w:rFonts w:ascii="Cambria Math" w:hAnsi="Cambria Math"/>
                      <w:i/>
                      <w:color w:val="333333"/>
                    </w:rPr>
                  </m:ctrlPr>
                </m:sSupPr>
                <m:e>
                  <m:r>
                    <w:rPr>
                      <w:rStyle w:val="1"/>
                      <w:rFonts w:ascii="Cambria Math" w:hAnsi="Cambria Math"/>
                      <w:color w:val="333333"/>
                    </w:rPr>
                    <m:t>a</m:t>
                  </m:r>
                  <m:r>
                    <m:rPr>
                      <m:sty m:val="p"/>
                    </m:rPr>
                    <w:rPr>
                      <w:rStyle w:val="1"/>
                      <w:rFonts w:ascii="Cambria Math" w:hAnsi="Cambria Math"/>
                      <w:color w:val="333333"/>
                      <w:lang w:val="en-US"/>
                    </w:rPr>
                    <w:softHyphen/>
                  </m:r>
                </m:e>
                <m:sup>
                  <m:r>
                    <w:rPr>
                      <w:rStyle w:val="1"/>
                      <w:rFonts w:ascii="Cambria Math" w:hAnsi="Cambria Math"/>
                      <w:color w:val="333333"/>
                    </w:rPr>
                    <m:t>+</m:t>
                  </m:r>
                </m:sup>
              </m:sSup>
              <m:r>
                <w:rPr>
                  <w:rStyle w:val="1"/>
                  <w:rFonts w:ascii="Cambria Math" w:hAnsi="Cambria Math"/>
                  <w:color w:val="333333"/>
                </w:rPr>
                <m:t>a</m:t>
              </m:r>
              <m:r>
                <m:rPr>
                  <m:sty m:val="p"/>
                </m:rPr>
                <w:rPr>
                  <w:rStyle w:val="1"/>
                  <w:rFonts w:ascii="Cambria Math" w:hAnsi="Cambria Math"/>
                  <w:color w:val="333333"/>
                  <w:lang w:val="en-US"/>
                </w:rPr>
                <w:softHyphen/>
              </m:r>
            </m:e>
            <m:sup>
              <m:r>
                <w:rPr>
                  <w:rStyle w:val="1"/>
                  <w:rFonts w:ascii="Cambria Math" w:hAnsi="Cambria Math"/>
                  <w:color w:val="333333"/>
                </w:rPr>
                <m:t>+</m:t>
              </m:r>
            </m:sup>
          </m:sSup>
          <m:r>
            <w:rPr>
              <w:rStyle w:val="1"/>
              <w:rFonts w:ascii="Cambria Math" w:hAnsi="Cambria Math"/>
              <w:color w:val="333333"/>
              <w:lang w:val="en-US"/>
            </w:rPr>
            <m:t>aa-iF</m:t>
          </m:r>
          <m:d>
            <m:d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d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a-</m:t>
              </m:r>
              <m:sSup>
                <m:sSupPr>
                  <m:ctrlPr>
                    <w:rPr>
                      <w:rStyle w:val="1"/>
                      <w:rFonts w:ascii="Cambria Math" w:hAnsi="Cambria Math"/>
                      <w:i/>
                      <w:color w:val="333333"/>
                    </w:rPr>
                  </m:ctrlPr>
                </m:sSupPr>
                <m:e>
                  <m:r>
                    <w:rPr>
                      <w:rStyle w:val="1"/>
                      <w:rFonts w:ascii="Cambria Math" w:hAnsi="Cambria Math"/>
                      <w:color w:val="333333"/>
                    </w:rPr>
                    <m:t>a</m:t>
                  </m:r>
                  <m:r>
                    <m:rPr>
                      <m:sty m:val="p"/>
                    </m:rPr>
                    <w:rPr>
                      <w:rStyle w:val="1"/>
                      <w:rFonts w:ascii="Cambria Math" w:hAnsi="Cambria Math"/>
                      <w:color w:val="333333"/>
                      <w:lang w:val="en-US"/>
                    </w:rPr>
                    <w:softHyphen/>
                  </m:r>
                </m:e>
                <m:sup>
                  <m:r>
                    <w:rPr>
                      <w:rStyle w:val="1"/>
                      <w:rFonts w:ascii="Cambria Math" w:hAnsi="Cambria Math"/>
                      <w:color w:val="333333"/>
                    </w:rPr>
                    <m:t>+</m:t>
                  </m:r>
                </m:sup>
              </m:sSup>
            </m:e>
          </m:d>
          <m:r>
            <w:rPr>
              <w:rStyle w:val="1"/>
              <w:rFonts w:ascii="Cambria Math" w:hAnsi="Cambria Math"/>
              <w:color w:val="333333"/>
              <w:lang w:val="en-US"/>
            </w:rPr>
            <m:t>,</m:t>
          </m:r>
        </m:oMath>
      </m:oMathPara>
    </w:p>
    <w:p w:rsidR="000F3646" w:rsidRPr="008D3E9E" w:rsidRDefault="00870157" w:rsidP="000F3646">
      <w:pPr>
        <w:pStyle w:val="a7"/>
        <w:ind w:firstLine="397"/>
        <w:jc w:val="both"/>
        <w:rPr>
          <w:rStyle w:val="1"/>
          <w:color w:val="333333"/>
          <w:lang w:val="en-US"/>
        </w:rPr>
      </w:pPr>
      <m:oMathPara>
        <m:oMath>
          <m:f>
            <m:f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fPr>
            <m:num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d</m:t>
              </m:r>
            </m:num>
            <m:den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dt</m:t>
              </m:r>
            </m:den>
          </m:f>
          <m:r>
            <w:rPr>
              <w:rStyle w:val="1"/>
              <w:rFonts w:ascii="Cambria Math" w:hAnsi="Cambria Math"/>
              <w:color w:val="333333"/>
              <w:lang w:val="en-US"/>
            </w:rPr>
            <m:t>ρ</m:t>
          </m:r>
          <m:d>
            <m:d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d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t</m:t>
              </m:r>
            </m:e>
          </m:d>
          <m:r>
            <w:rPr>
              <w:rStyle w:val="1"/>
              <w:rFonts w:ascii="Cambria Math" w:hAnsi="Cambria Math"/>
              <w:color w:val="333333"/>
              <w:lang w:val="en-US"/>
            </w:rPr>
            <m:t>=-i</m:t>
          </m:r>
          <m:d>
            <m:dPr>
              <m:begChr m:val="["/>
              <m:endChr m:val="]"/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d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H,ρ</m:t>
              </m:r>
            </m:e>
          </m:d>
          <m:r>
            <w:rPr>
              <w:rStyle w:val="1"/>
              <w:rFonts w:ascii="Cambria Math" w:hAnsi="Cambria Math"/>
              <w:color w:val="333333"/>
              <w:lang w:val="en-US"/>
            </w:rPr>
            <m:t>+</m:t>
          </m:r>
          <m:f>
            <m:f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fPr>
            <m:num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γ</m:t>
              </m:r>
            </m:num>
            <m:den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2</m:t>
              </m:r>
            </m:den>
          </m:f>
          <m:d>
            <m:d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d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aρ</m:t>
              </m:r>
              <m:sSup>
                <m:sSupPr>
                  <m:ctrlPr>
                    <w:rPr>
                      <w:rStyle w:val="1"/>
                      <w:rFonts w:ascii="Cambria Math" w:hAnsi="Cambria Math"/>
                      <w:i/>
                      <w:color w:val="333333"/>
                    </w:rPr>
                  </m:ctrlPr>
                </m:sSupPr>
                <m:e>
                  <m:r>
                    <w:rPr>
                      <w:rStyle w:val="1"/>
                      <w:rFonts w:ascii="Cambria Math" w:hAnsi="Cambria Math"/>
                      <w:color w:val="333333"/>
                    </w:rPr>
                    <m:t>a</m:t>
                  </m:r>
                  <m:r>
                    <m:rPr>
                      <m:sty m:val="p"/>
                    </m:rPr>
                    <w:rPr>
                      <w:rStyle w:val="1"/>
                      <w:rFonts w:ascii="Cambria Math" w:hAnsi="Cambria Math"/>
                      <w:color w:val="333333"/>
                      <w:lang w:val="en-US"/>
                    </w:rPr>
                    <w:softHyphen/>
                  </m:r>
                </m:e>
                <m:sup>
                  <m:r>
                    <w:rPr>
                      <w:rStyle w:val="1"/>
                      <w:rFonts w:ascii="Cambria Math" w:hAnsi="Cambria Math"/>
                      <w:color w:val="333333"/>
                    </w:rPr>
                    <m:t>+</m:t>
                  </m:r>
                </m:sup>
              </m:sSup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-</m:t>
              </m:r>
              <m:f>
                <m:fPr>
                  <m:ctrlPr>
                    <w:rPr>
                      <w:rStyle w:val="1"/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fPr>
                <m:num>
                  <m:r>
                    <w:rPr>
                      <w:rStyle w:val="1"/>
                      <w:rFonts w:ascii="Cambria Math" w:hAnsi="Cambria Math"/>
                      <w:color w:val="333333"/>
                      <w:lang w:val="en-US"/>
                    </w:rPr>
                    <m:t>1</m:t>
                  </m:r>
                </m:num>
                <m:den>
                  <m:r>
                    <w:rPr>
                      <w:rStyle w:val="1"/>
                      <w:rFonts w:ascii="Cambria Math" w:hAnsi="Cambria Math"/>
                      <w:color w:val="333333"/>
                      <w:lang w:val="en-US"/>
                    </w:rPr>
                    <m:t>2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Style w:val="1"/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Style w:val="1"/>
                          <w:rFonts w:ascii="Cambria Math" w:hAnsi="Cambria Math"/>
                          <w:i/>
                          <w:color w:val="333333"/>
                        </w:rPr>
                      </m:ctrlPr>
                    </m:sSupPr>
                    <m:e>
                      <m:r>
                        <w:rPr>
                          <w:rStyle w:val="1"/>
                          <w:rFonts w:ascii="Cambria Math" w:hAnsi="Cambria Math"/>
                          <w:color w:val="333333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Style w:val="1"/>
                          <w:rFonts w:ascii="Cambria Math" w:hAnsi="Cambria Math"/>
                          <w:color w:val="333333"/>
                          <w:lang w:val="en-US"/>
                        </w:rPr>
                        <w:softHyphen/>
                      </m:r>
                    </m:e>
                    <m:sup>
                      <m:r>
                        <w:rPr>
                          <w:rStyle w:val="1"/>
                          <w:rFonts w:ascii="Cambria Math" w:hAnsi="Cambria Math"/>
                          <w:color w:val="333333"/>
                        </w:rPr>
                        <m:t>+</m:t>
                      </m:r>
                    </m:sup>
                  </m:sSup>
                  <m:r>
                    <w:rPr>
                      <w:rStyle w:val="1"/>
                      <w:rFonts w:ascii="Cambria Math" w:hAnsi="Cambria Math"/>
                      <w:color w:val="333333"/>
                      <w:lang w:val="en-US"/>
                    </w:rPr>
                    <m:t>a,ρ</m:t>
                  </m:r>
                </m:e>
              </m:d>
            </m:e>
          </m:d>
          <m:r>
            <w:rPr>
              <w:rStyle w:val="1"/>
              <w:rFonts w:ascii="Cambria Math" w:hAnsi="Cambria Math"/>
              <w:color w:val="333333"/>
              <w:lang w:val="en-US"/>
            </w:rPr>
            <m:t>.</m:t>
          </m:r>
        </m:oMath>
      </m:oMathPara>
    </w:p>
    <w:p w:rsidR="000F3646" w:rsidRDefault="000F3646" w:rsidP="000F3646">
      <w:pPr>
        <w:pStyle w:val="a7"/>
        <w:ind w:firstLine="397"/>
        <w:jc w:val="both"/>
        <w:rPr>
          <w:rStyle w:val="1"/>
          <w:b/>
          <w:color w:val="333333"/>
        </w:rPr>
      </w:pPr>
      <w:r>
        <w:rPr>
          <w:rStyle w:val="1"/>
          <w:color w:val="333333"/>
        </w:rPr>
        <w:t>Для того</w:t>
      </w:r>
      <w:proofErr w:type="gramStart"/>
      <w:r>
        <w:rPr>
          <w:rStyle w:val="1"/>
          <w:color w:val="333333"/>
        </w:rPr>
        <w:t>,</w:t>
      </w:r>
      <w:proofErr w:type="gramEnd"/>
      <w:r>
        <w:rPr>
          <w:rStyle w:val="1"/>
          <w:color w:val="333333"/>
        </w:rPr>
        <w:t xml:space="preserve"> чтобы сделать уравнения замкнутыми, мы используем для матрицы плотности </w:t>
      </w:r>
      <w:proofErr w:type="spellStart"/>
      <w:r>
        <w:rPr>
          <w:rStyle w:val="1"/>
          <w:color w:val="333333"/>
        </w:rPr>
        <w:t>гауссовский</w:t>
      </w:r>
      <w:proofErr w:type="spellEnd"/>
      <w:r>
        <w:rPr>
          <w:rStyle w:val="1"/>
          <w:color w:val="333333"/>
        </w:rPr>
        <w:t xml:space="preserve"> </w:t>
      </w:r>
      <w:proofErr w:type="spellStart"/>
      <w:r>
        <w:rPr>
          <w:rStyle w:val="1"/>
          <w:color w:val="333333"/>
        </w:rPr>
        <w:t>анзац</w:t>
      </w:r>
      <w:proofErr w:type="spellEnd"/>
      <w:r>
        <w:rPr>
          <w:rStyle w:val="1"/>
          <w:color w:val="333333"/>
        </w:rPr>
        <w:t xml:space="preserve">, параметризованный средними от операторов рождения и уничтожения, а также произведений таких операторов. В условиях такого </w:t>
      </w:r>
      <w:proofErr w:type="spellStart"/>
      <w:r>
        <w:rPr>
          <w:rStyle w:val="1"/>
          <w:color w:val="333333"/>
        </w:rPr>
        <w:t>анзаца</w:t>
      </w:r>
      <w:proofErr w:type="spellEnd"/>
      <w:r>
        <w:rPr>
          <w:rStyle w:val="1"/>
          <w:color w:val="333333"/>
        </w:rPr>
        <w:t xml:space="preserve"> моменты степени больше 2 сводятся к произведению моментов 2-го и 1-го порядка на основе теоремы Вика. </w:t>
      </w:r>
      <w:proofErr w:type="gramStart"/>
      <w:r>
        <w:rPr>
          <w:rStyle w:val="1"/>
          <w:color w:val="333333"/>
        </w:rPr>
        <w:t xml:space="preserve">Важно то, что наш метод позволяет не только выводить уравнения для матрицы плотности или для указанных средних в предположении </w:t>
      </w:r>
      <w:proofErr w:type="spellStart"/>
      <w:r>
        <w:rPr>
          <w:rStyle w:val="1"/>
          <w:color w:val="333333"/>
        </w:rPr>
        <w:t>анзаца</w:t>
      </w:r>
      <w:proofErr w:type="spellEnd"/>
      <w:r>
        <w:rPr>
          <w:rStyle w:val="1"/>
          <w:color w:val="333333"/>
        </w:rPr>
        <w:t xml:space="preserve">, но и последовательно вычислять </w:t>
      </w:r>
      <w:proofErr w:type="spellStart"/>
      <w:r>
        <w:rPr>
          <w:rStyle w:val="1"/>
          <w:color w:val="333333"/>
        </w:rPr>
        <w:t>пертурбативные</w:t>
      </w:r>
      <w:proofErr w:type="spellEnd"/>
      <w:r>
        <w:rPr>
          <w:rStyle w:val="1"/>
          <w:color w:val="333333"/>
        </w:rPr>
        <w:t xml:space="preserve"> поправки к этим уравнениям.</w:t>
      </w:r>
      <w:proofErr w:type="gramEnd"/>
      <w:r>
        <w:rPr>
          <w:rStyle w:val="1"/>
          <w:color w:val="333333"/>
        </w:rPr>
        <w:t xml:space="preserve"> Несмотря на то, что мы концентрируемся на конкретной модели, предполагается, что разработанные </w:t>
      </w:r>
      <w:r>
        <w:rPr>
          <w:rStyle w:val="1"/>
          <w:color w:val="333333"/>
        </w:rPr>
        <w:lastRenderedPageBreak/>
        <w:t xml:space="preserve">методы будут полезны и в общем случае, когда в нулевом приближении динамика описывается </w:t>
      </w:r>
      <w:proofErr w:type="spellStart"/>
      <w:r>
        <w:rPr>
          <w:rStyle w:val="1"/>
          <w:color w:val="333333"/>
        </w:rPr>
        <w:t>гауссовским</w:t>
      </w:r>
      <w:proofErr w:type="spellEnd"/>
      <w:r>
        <w:rPr>
          <w:rStyle w:val="1"/>
          <w:color w:val="333333"/>
        </w:rPr>
        <w:t xml:space="preserve"> каналом. Фактически данный подход позволяет эффективно смотреть на </w:t>
      </w:r>
      <w:proofErr w:type="spellStart"/>
      <w:r>
        <w:rPr>
          <w:rStyle w:val="1"/>
          <w:color w:val="333333"/>
        </w:rPr>
        <w:t>негауссовские</w:t>
      </w:r>
      <w:proofErr w:type="spellEnd"/>
      <w:r>
        <w:rPr>
          <w:rStyle w:val="1"/>
          <w:color w:val="333333"/>
        </w:rPr>
        <w:t xml:space="preserve"> каналы в реальных физических системах как на нелинейные, но </w:t>
      </w:r>
      <w:proofErr w:type="spellStart"/>
      <w:r>
        <w:rPr>
          <w:rStyle w:val="1"/>
          <w:color w:val="333333"/>
        </w:rPr>
        <w:t>гауссовские</w:t>
      </w:r>
      <w:proofErr w:type="spellEnd"/>
      <w:r>
        <w:rPr>
          <w:rStyle w:val="1"/>
          <w:color w:val="333333"/>
        </w:rPr>
        <w:t xml:space="preserve"> каналы. Это может быть важно с точки зрения квантовой теории информации, где наибольшие успехи в случае непрерывных переменных достигнуты именно для </w:t>
      </w:r>
      <w:proofErr w:type="spellStart"/>
      <w:r>
        <w:rPr>
          <w:rStyle w:val="1"/>
          <w:color w:val="333333"/>
        </w:rPr>
        <w:t>гауссовских</w:t>
      </w:r>
      <w:proofErr w:type="spellEnd"/>
      <w:r>
        <w:rPr>
          <w:rStyle w:val="1"/>
          <w:color w:val="333333"/>
        </w:rPr>
        <w:t xml:space="preserve"> каналов [3].</w:t>
      </w:r>
    </w:p>
    <w:p w:rsidR="000F3646" w:rsidRDefault="000F3646" w:rsidP="000F3646">
      <w:pPr>
        <w:pStyle w:val="a7"/>
        <w:spacing w:after="119" w:line="288" w:lineRule="auto"/>
        <w:ind w:firstLine="397"/>
        <w:jc w:val="both"/>
        <w:rPr>
          <w:rStyle w:val="1"/>
          <w:b/>
          <w:bCs/>
          <w:color w:val="333333"/>
        </w:rPr>
      </w:pPr>
      <w:bookmarkStart w:id="0" w:name="docs-internal-guid-74d8b12e-7fff-9b0f-d9"/>
      <w:bookmarkEnd w:id="0"/>
      <w:r>
        <w:rPr>
          <w:rStyle w:val="1"/>
          <w:color w:val="333333"/>
        </w:rPr>
        <w:t>Работа выполнена при поддержке Фонда развития теоретической физики и математики «БАЗИС», грант № 23-2-1-34-1.</w:t>
      </w:r>
      <w:bookmarkStart w:id="1" w:name="_GoBack"/>
      <w:bookmarkEnd w:id="1"/>
    </w:p>
    <w:p w:rsidR="000F3646" w:rsidRPr="00870157" w:rsidRDefault="000F3646" w:rsidP="000F3646">
      <w:pPr>
        <w:pStyle w:val="a7"/>
        <w:ind w:firstLine="397"/>
        <w:jc w:val="both"/>
        <w:rPr>
          <w:rStyle w:val="1"/>
          <w:color w:val="333333"/>
        </w:rPr>
      </w:pPr>
      <w:r>
        <w:rPr>
          <w:rStyle w:val="1"/>
          <w:b/>
          <w:bCs/>
          <w:color w:val="333333"/>
        </w:rPr>
        <w:t>Литература</w:t>
      </w:r>
    </w:p>
    <w:p w:rsidR="000F3646" w:rsidRDefault="000F3646" w:rsidP="000F3646">
      <w:pPr>
        <w:pStyle w:val="a7"/>
        <w:ind w:firstLine="397"/>
        <w:jc w:val="both"/>
        <w:rPr>
          <w:color w:val="333333"/>
        </w:rPr>
      </w:pPr>
      <w:r w:rsidRPr="00870157">
        <w:rPr>
          <w:rStyle w:val="1"/>
          <w:color w:val="333333"/>
        </w:rPr>
        <w:t xml:space="preserve">1. </w:t>
      </w:r>
      <w:r>
        <w:rPr>
          <w:rStyle w:val="1"/>
          <w:color w:val="333333"/>
          <w:lang w:val="en-US"/>
        </w:rPr>
        <w:t>V</w:t>
      </w:r>
      <w:r w:rsidRPr="00870157">
        <w:rPr>
          <w:rStyle w:val="1"/>
          <w:color w:val="333333"/>
        </w:rPr>
        <w:t xml:space="preserve">. </w:t>
      </w:r>
      <w:proofErr w:type="spellStart"/>
      <w:r>
        <w:rPr>
          <w:rStyle w:val="1"/>
          <w:color w:val="333333"/>
          <w:lang w:val="en-US"/>
        </w:rPr>
        <w:t>Semin</w:t>
      </w:r>
      <w:proofErr w:type="spellEnd"/>
      <w:r w:rsidRPr="00870157">
        <w:rPr>
          <w:rStyle w:val="1"/>
          <w:color w:val="333333"/>
        </w:rPr>
        <w:t xml:space="preserve">, </w:t>
      </w:r>
      <w:r>
        <w:rPr>
          <w:rStyle w:val="1"/>
          <w:color w:val="333333"/>
          <w:lang w:val="en-US"/>
        </w:rPr>
        <w:t>F</w:t>
      </w:r>
      <w:r w:rsidRPr="00870157">
        <w:rPr>
          <w:rStyle w:val="1"/>
          <w:color w:val="333333"/>
        </w:rPr>
        <w:t xml:space="preserve">. </w:t>
      </w:r>
      <w:proofErr w:type="spellStart"/>
      <w:r>
        <w:rPr>
          <w:rStyle w:val="1"/>
          <w:color w:val="333333"/>
          <w:lang w:val="en-US"/>
        </w:rPr>
        <w:t>Petruccione</w:t>
      </w:r>
      <w:proofErr w:type="spellEnd"/>
      <w:r w:rsidRPr="00870157">
        <w:rPr>
          <w:rStyle w:val="1"/>
          <w:color w:val="333333"/>
        </w:rPr>
        <w:t>. "</w:t>
      </w:r>
      <w:r>
        <w:rPr>
          <w:rStyle w:val="1"/>
          <w:color w:val="333333"/>
          <w:lang w:val="en-US"/>
        </w:rPr>
        <w:t>Dynamical</w:t>
      </w:r>
      <w:r w:rsidRPr="00870157">
        <w:rPr>
          <w:rStyle w:val="1"/>
          <w:color w:val="333333"/>
        </w:rPr>
        <w:t xml:space="preserve"> </w:t>
      </w:r>
      <w:r>
        <w:rPr>
          <w:rStyle w:val="1"/>
          <w:color w:val="333333"/>
          <w:lang w:val="en-US"/>
        </w:rPr>
        <w:t>and</w:t>
      </w:r>
      <w:r w:rsidRPr="00870157">
        <w:rPr>
          <w:rStyle w:val="1"/>
          <w:color w:val="333333"/>
        </w:rPr>
        <w:t xml:space="preserve"> </w:t>
      </w:r>
      <w:proofErr w:type="spellStart"/>
      <w:r>
        <w:rPr>
          <w:rStyle w:val="1"/>
          <w:color w:val="333333"/>
          <w:lang w:val="en-US"/>
        </w:rPr>
        <w:t>thermodynamical</w:t>
      </w:r>
      <w:proofErr w:type="spellEnd"/>
      <w:r w:rsidRPr="00870157">
        <w:rPr>
          <w:rStyle w:val="1"/>
          <w:color w:val="333333"/>
        </w:rPr>
        <w:t xml:space="preserve"> </w:t>
      </w:r>
      <w:r>
        <w:rPr>
          <w:rStyle w:val="1"/>
          <w:color w:val="333333"/>
          <w:lang w:val="en-US"/>
        </w:rPr>
        <w:t>approaches</w:t>
      </w:r>
      <w:r w:rsidRPr="00870157">
        <w:rPr>
          <w:rStyle w:val="1"/>
          <w:color w:val="333333"/>
        </w:rPr>
        <w:t xml:space="preserve"> </w:t>
      </w:r>
      <w:r>
        <w:rPr>
          <w:rStyle w:val="1"/>
          <w:color w:val="333333"/>
          <w:lang w:val="en-US"/>
        </w:rPr>
        <w:t>to</w:t>
      </w:r>
      <w:r w:rsidRPr="00870157">
        <w:rPr>
          <w:rStyle w:val="1"/>
          <w:color w:val="333333"/>
        </w:rPr>
        <w:t xml:space="preserve"> </w:t>
      </w:r>
      <w:r>
        <w:rPr>
          <w:rStyle w:val="1"/>
          <w:color w:val="333333"/>
          <w:lang w:val="en-US"/>
        </w:rPr>
        <w:t>open</w:t>
      </w:r>
      <w:r w:rsidRPr="00870157">
        <w:rPr>
          <w:rStyle w:val="1"/>
          <w:color w:val="333333"/>
        </w:rPr>
        <w:t xml:space="preserve"> </w:t>
      </w:r>
      <w:r>
        <w:rPr>
          <w:rStyle w:val="1"/>
          <w:color w:val="333333"/>
          <w:lang w:val="en-US"/>
        </w:rPr>
        <w:t>quantum</w:t>
      </w:r>
      <w:r w:rsidRPr="00870157">
        <w:rPr>
          <w:rStyle w:val="1"/>
          <w:color w:val="333333"/>
        </w:rPr>
        <w:t xml:space="preserve"> </w:t>
      </w:r>
      <w:r>
        <w:rPr>
          <w:rStyle w:val="1"/>
          <w:color w:val="333333"/>
          <w:lang w:val="en-US"/>
        </w:rPr>
        <w:t>systems</w:t>
      </w:r>
      <w:r w:rsidRPr="00870157">
        <w:rPr>
          <w:rStyle w:val="1"/>
          <w:color w:val="333333"/>
        </w:rPr>
        <w:t xml:space="preserve">." </w:t>
      </w:r>
      <w:proofErr w:type="spellStart"/>
      <w:r>
        <w:rPr>
          <w:rStyle w:val="1"/>
          <w:color w:val="333333"/>
        </w:rPr>
        <w:t>Scientific</w:t>
      </w:r>
      <w:proofErr w:type="spellEnd"/>
      <w:r>
        <w:rPr>
          <w:rStyle w:val="1"/>
          <w:color w:val="333333"/>
        </w:rPr>
        <w:t xml:space="preserve"> </w:t>
      </w:r>
      <w:proofErr w:type="spellStart"/>
      <w:r>
        <w:rPr>
          <w:rStyle w:val="1"/>
          <w:color w:val="333333"/>
        </w:rPr>
        <w:t>Reports</w:t>
      </w:r>
      <w:proofErr w:type="spellEnd"/>
      <w:r>
        <w:rPr>
          <w:rStyle w:val="1"/>
          <w:color w:val="333333"/>
        </w:rPr>
        <w:t xml:space="preserve"> 10.1 (2020): 2607.</w:t>
      </w:r>
    </w:p>
    <w:p w:rsidR="000F3646" w:rsidRDefault="000F3646" w:rsidP="000F3646">
      <w:pPr>
        <w:pStyle w:val="a7"/>
        <w:ind w:firstLine="397"/>
        <w:jc w:val="both"/>
        <w:rPr>
          <w:rStyle w:val="1"/>
          <w:color w:val="333333"/>
        </w:rPr>
      </w:pPr>
      <w:r>
        <w:rPr>
          <w:color w:val="333333"/>
        </w:rPr>
        <w:t>2. Ш. </w:t>
      </w:r>
      <w:proofErr w:type="spellStart"/>
      <w:r>
        <w:rPr>
          <w:color w:val="333333"/>
        </w:rPr>
        <w:t>Меретуков</w:t>
      </w:r>
      <w:proofErr w:type="spellEnd"/>
      <w:r>
        <w:rPr>
          <w:color w:val="333333"/>
        </w:rPr>
        <w:t>, А. Е. </w:t>
      </w:r>
      <w:proofErr w:type="spellStart"/>
      <w:r>
        <w:rPr>
          <w:color w:val="333333"/>
        </w:rPr>
        <w:t>Теретёнков</w:t>
      </w:r>
      <w:proofErr w:type="spellEnd"/>
      <w:r>
        <w:rPr>
          <w:color w:val="333333"/>
        </w:rPr>
        <w:t>, “О зависящих от времени проекторах и обобщении термодинамического подхода в теории открытых квантовых систем”, Труды МИАН, 324, 2024 (принято к публикации); arXiv:2307.00607.</w:t>
      </w:r>
    </w:p>
    <w:p w:rsidR="000F3646" w:rsidRDefault="000F3646" w:rsidP="000F3646">
      <w:pPr>
        <w:pStyle w:val="a7"/>
        <w:ind w:firstLine="397"/>
        <w:jc w:val="both"/>
        <w:rPr>
          <w:i/>
          <w:iCs/>
        </w:rPr>
      </w:pPr>
      <w:r>
        <w:rPr>
          <w:rStyle w:val="1"/>
          <w:color w:val="333333"/>
        </w:rPr>
        <w:t xml:space="preserve">3. А.С. </w:t>
      </w:r>
      <w:proofErr w:type="spellStart"/>
      <w:r>
        <w:rPr>
          <w:rStyle w:val="1"/>
          <w:color w:val="333333"/>
        </w:rPr>
        <w:t>Холево</w:t>
      </w:r>
      <w:proofErr w:type="spellEnd"/>
      <w:r>
        <w:rPr>
          <w:rStyle w:val="1"/>
          <w:color w:val="333333"/>
        </w:rPr>
        <w:t xml:space="preserve"> Квантовые системы, каналы, информация. М.: МЦНМО, 2010.</w:t>
      </w:r>
      <w:r>
        <w:t xml:space="preserve"> </w:t>
      </w:r>
    </w:p>
    <w:p w:rsidR="000F3646" w:rsidRDefault="000F3646" w:rsidP="000F3646">
      <w:pPr>
        <w:pStyle w:val="11"/>
        <w:jc w:val="center"/>
        <w:rPr>
          <w:i/>
          <w:iCs/>
        </w:rPr>
      </w:pPr>
    </w:p>
    <w:p w:rsidR="00AE1E1F" w:rsidRPr="000F3646" w:rsidRDefault="00AE1E1F" w:rsidP="000F3646"/>
    <w:sectPr w:rsidR="00AE1E1F" w:rsidRPr="000F3646">
      <w:pgSz w:w="11906" w:h="16838"/>
      <w:pgMar w:top="1134" w:right="1361" w:bottom="1259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9E"/>
    <w:rsid w:val="000F3646"/>
    <w:rsid w:val="00200584"/>
    <w:rsid w:val="00870157"/>
    <w:rsid w:val="008D3E9E"/>
    <w:rsid w:val="00A90950"/>
    <w:rsid w:val="00AE1E1F"/>
    <w:rsid w:val="00E1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00" w:lineRule="atLeast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Гиперссылка1"/>
    <w:rPr>
      <w:color w:val="000080"/>
      <w:u w:val="single"/>
    </w:rPr>
  </w:style>
  <w:style w:type="character" w:customStyle="1" w:styleId="a3">
    <w:name w:val="Текст выноски Знак"/>
    <w:basedOn w:val="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4">
    <w:name w:val="Placeholder Text"/>
    <w:basedOn w:val="1"/>
    <w:rPr>
      <w:color w:val="808080"/>
    </w:rPr>
  </w:style>
  <w:style w:type="character" w:styleId="a5">
    <w:name w:val="Hyperlink"/>
    <w:rPr>
      <w:color w:val="000080"/>
      <w:u w:val="single"/>
    </w:rPr>
  </w:style>
  <w:style w:type="paragraph" w:customStyle="1" w:styleId="11">
    <w:name w:val="Обычный1"/>
    <w:pPr>
      <w:widowControl w:val="0"/>
      <w:suppressAutoHyphens/>
      <w:spacing w:line="100" w:lineRule="atLeast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6">
    <w:name w:val="Заголовок"/>
    <w:basedOn w:val="11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11"/>
    <w:pPr>
      <w:spacing w:after="120"/>
    </w:pPr>
  </w:style>
  <w:style w:type="paragraph" w:styleId="a8">
    <w:name w:val="List"/>
    <w:basedOn w:val="a7"/>
  </w:style>
  <w:style w:type="paragraph" w:customStyle="1" w:styleId="12">
    <w:name w:val="Название1"/>
    <w:basedOn w:val="1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11"/>
    <w:pPr>
      <w:suppressLineNumbers/>
    </w:pPr>
  </w:style>
  <w:style w:type="paragraph" w:styleId="a9">
    <w:name w:val="Balloon Text"/>
    <w:basedOn w:val="1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00" w:lineRule="atLeast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Гиперссылка1"/>
    <w:rPr>
      <w:color w:val="000080"/>
      <w:u w:val="single"/>
    </w:rPr>
  </w:style>
  <w:style w:type="character" w:customStyle="1" w:styleId="a3">
    <w:name w:val="Текст выноски Знак"/>
    <w:basedOn w:val="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4">
    <w:name w:val="Placeholder Text"/>
    <w:basedOn w:val="1"/>
    <w:rPr>
      <w:color w:val="808080"/>
    </w:rPr>
  </w:style>
  <w:style w:type="character" w:styleId="a5">
    <w:name w:val="Hyperlink"/>
    <w:rPr>
      <w:color w:val="000080"/>
      <w:u w:val="single"/>
    </w:rPr>
  </w:style>
  <w:style w:type="paragraph" w:customStyle="1" w:styleId="11">
    <w:name w:val="Обычный1"/>
    <w:pPr>
      <w:widowControl w:val="0"/>
      <w:suppressAutoHyphens/>
      <w:spacing w:line="100" w:lineRule="atLeast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6">
    <w:name w:val="Заголовок"/>
    <w:basedOn w:val="11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11"/>
    <w:pPr>
      <w:spacing w:after="120"/>
    </w:pPr>
  </w:style>
  <w:style w:type="paragraph" w:styleId="a8">
    <w:name w:val="List"/>
    <w:basedOn w:val="a7"/>
  </w:style>
  <w:style w:type="paragraph" w:customStyle="1" w:styleId="12">
    <w:name w:val="Название1"/>
    <w:basedOn w:val="1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11"/>
    <w:pPr>
      <w:suppressLineNumbers/>
    </w:pPr>
  </w:style>
  <w:style w:type="paragraph" w:styleId="a9">
    <w:name w:val="Balloon Text"/>
    <w:basedOn w:val="1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olblin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Khazret Meretukov</dc:creator>
  <cp:lastModifiedBy>Khazret Meretukov</cp:lastModifiedBy>
  <cp:revision>6</cp:revision>
  <cp:lastPrinted>2112-12-31T21:00:00Z</cp:lastPrinted>
  <dcterms:created xsi:type="dcterms:W3CDTF">2024-02-08T06:46:00Z</dcterms:created>
  <dcterms:modified xsi:type="dcterms:W3CDTF">2024-02-10T11:17:00Z</dcterms:modified>
</cp:coreProperties>
</file>