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31C8" w14:textId="7D76F4BA" w:rsidR="0012128A" w:rsidRPr="00297C46" w:rsidRDefault="00000000" w:rsidP="00297C46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Изучение динамики наномеханических резонаторов </w:t>
      </w:r>
      <w:r w:rsidR="00297C46">
        <w:rPr>
          <w:b/>
          <w:bCs/>
          <w:color w:val="000000"/>
          <w:shd w:val="clear" w:color="auto" w:fill="FFFFFF"/>
        </w:rPr>
        <w:t xml:space="preserve">                                 методами машинного обучения</w:t>
      </w:r>
    </w:p>
    <w:p w14:paraId="75A59993" w14:textId="77777777" w:rsidR="0012128A" w:rsidRDefault="0012128A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</w:p>
    <w:p w14:paraId="6D018706" w14:textId="58FB8739" w:rsidR="0012128A" w:rsidRDefault="00000000">
      <w:pPr>
        <w:ind w:firstLine="426"/>
        <w:jc w:val="center"/>
      </w:pPr>
      <w:r>
        <w:rPr>
          <w:rStyle w:val="a3"/>
          <w:b/>
          <w:bCs/>
          <w:color w:val="000000"/>
          <w:shd w:val="clear" w:color="auto" w:fill="FFFFFF"/>
        </w:rPr>
        <w:t>Михайлов П.О.*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>,</w:t>
      </w:r>
      <w:r>
        <w:rPr>
          <w:b/>
          <w:i/>
        </w:rPr>
        <w:t xml:space="preserve"> Попов А.А.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>
        <w:rPr>
          <w:rStyle w:val="a3"/>
          <w:b/>
          <w:bCs/>
          <w:color w:val="000000"/>
          <w:shd w:val="clear" w:color="auto" w:fill="FFFFFF"/>
        </w:rPr>
        <w:t>Дорофеев А.А.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>
        <w:rPr>
          <w:rStyle w:val="a3"/>
          <w:b/>
          <w:bCs/>
          <w:color w:val="000000"/>
          <w:shd w:val="clear" w:color="auto" w:fill="FFFFFF"/>
        </w:rPr>
        <w:t>Пашкин Ю.А.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83399B">
        <w:rPr>
          <w:rStyle w:val="a3"/>
          <w:b/>
          <w:bCs/>
          <w:iCs w:val="0"/>
          <w:color w:val="000000"/>
          <w:shd w:val="clear" w:color="auto" w:fill="FFFFFF"/>
        </w:rPr>
        <w:t>Преснов Д.Е.</w:t>
      </w:r>
      <w:r w:rsidR="0083399B" w:rsidRP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1,3</w:t>
      </w:r>
      <w:r w:rsidR="0083399B">
        <w:rPr>
          <w:rStyle w:val="a3"/>
          <w:b/>
          <w:bCs/>
          <w:iCs w:val="0"/>
          <w:color w:val="000000"/>
          <w:shd w:val="clear" w:color="auto" w:fill="FFFFFF"/>
        </w:rPr>
        <w:t xml:space="preserve">, </w:t>
      </w:r>
      <w:r>
        <w:rPr>
          <w:rStyle w:val="a3"/>
          <w:b/>
          <w:bCs/>
          <w:color w:val="000000"/>
          <w:shd w:val="clear" w:color="auto" w:fill="FFFFFF"/>
        </w:rPr>
        <w:t>Трифонов А.С.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>
        <w:rPr>
          <w:rStyle w:val="a3"/>
          <w:b/>
          <w:bCs/>
          <w:color w:val="000000"/>
          <w:shd w:val="clear" w:color="auto" w:fill="FFFFFF"/>
        </w:rPr>
        <w:t>Крупенин В.А.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3399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6EA5DD4C" w14:textId="77777777" w:rsidR="0012128A" w:rsidRDefault="00000000">
      <w:pPr>
        <w:ind w:firstLine="426"/>
        <w:jc w:val="center"/>
      </w:pPr>
      <w:r>
        <w:rPr>
          <w:rStyle w:val="a3"/>
          <w:color w:val="000000"/>
          <w:shd w:val="clear" w:color="auto" w:fill="FFFFFF"/>
        </w:rPr>
        <w:t>*студент</w:t>
      </w:r>
    </w:p>
    <w:p w14:paraId="6C27B101" w14:textId="229B3B07" w:rsidR="0012128A" w:rsidRDefault="00000000">
      <w:pPr>
        <w:spacing w:after="200"/>
        <w:ind w:firstLine="426"/>
        <w:jc w:val="center"/>
      </w:pPr>
      <w:r>
        <w:rPr>
          <w:rStyle w:val="a3"/>
          <w:color w:val="000000"/>
          <w:shd w:val="clear" w:color="auto" w:fill="FFFFFF"/>
        </w:rPr>
        <w:t>1.  Московский государственный университет имени М.В. Ломоносова,</w:t>
      </w:r>
      <w:r w:rsidR="00297C46">
        <w:rPr>
          <w:rStyle w:val="a3"/>
          <w:color w:val="000000"/>
          <w:shd w:val="clear" w:color="auto" w:fill="FFFFFF"/>
        </w:rPr>
        <w:t xml:space="preserve"> </w:t>
      </w:r>
      <w:r>
        <w:rPr>
          <w:rStyle w:val="a3"/>
          <w:color w:val="000000"/>
          <w:shd w:val="clear" w:color="auto" w:fill="FFFFFF"/>
        </w:rPr>
        <w:t>физический факультет, лаборатория  «Криоэлектроника», г. Москва, Россия</w:t>
      </w:r>
    </w:p>
    <w:p w14:paraId="49BE7211" w14:textId="77777777" w:rsidR="0012128A" w:rsidRDefault="00000000">
      <w:pPr>
        <w:spacing w:after="200"/>
        <w:ind w:firstLine="426"/>
        <w:jc w:val="center"/>
      </w:pPr>
      <w:r>
        <w:rPr>
          <w:rStyle w:val="a3"/>
          <w:color w:val="000000"/>
          <w:shd w:val="clear" w:color="auto" w:fill="FFFFFF"/>
        </w:rPr>
        <w:t>2. Отделение физики, Университет Ланкастер, г. Ланкастер, Соединенное Королевство</w:t>
      </w:r>
    </w:p>
    <w:p w14:paraId="2A2AD603" w14:textId="77777777" w:rsidR="0012128A" w:rsidRDefault="00000000">
      <w:pPr>
        <w:spacing w:after="200"/>
        <w:ind w:firstLine="426"/>
        <w:jc w:val="center"/>
      </w:pPr>
      <w:r>
        <w:rPr>
          <w:rStyle w:val="a3"/>
          <w:color w:val="000000"/>
          <w:shd w:val="clear" w:color="auto" w:fill="FFFFFF"/>
        </w:rPr>
        <w:t>3. Научно-исследовательский центр ядерной физики имени Д.В. Скобельцына МГУ, г. Москва, Россия</w:t>
      </w:r>
    </w:p>
    <w:p w14:paraId="4860F0C7" w14:textId="77777777" w:rsidR="0012128A" w:rsidRPr="00FD7CBD" w:rsidRDefault="00000000">
      <w:pPr>
        <w:spacing w:after="200"/>
        <w:ind w:firstLine="426"/>
        <w:jc w:val="center"/>
        <w:rPr>
          <w:lang w:val="en-US"/>
        </w:rPr>
      </w:pPr>
      <w:r w:rsidRPr="00FD7CBD">
        <w:rPr>
          <w:rStyle w:val="a3"/>
          <w:color w:val="000000"/>
          <w:shd w:val="clear" w:color="auto" w:fill="FFFFFF"/>
          <w:lang w:val="en-US"/>
        </w:rPr>
        <w:t>E–mail</w:t>
      </w:r>
      <w:r w:rsidRPr="00FD7CBD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mikhailov.po18@physics.msu.ru</w:t>
      </w:r>
    </w:p>
    <w:p w14:paraId="770C6420" w14:textId="099FA5BE" w:rsidR="0072218B" w:rsidRDefault="00000000" w:rsidP="00A679E2">
      <w:pPr>
        <w:ind w:firstLine="397"/>
        <w:jc w:val="both"/>
      </w:pPr>
      <w:r>
        <w:t>С развитием инструментов нанотехнологи</w:t>
      </w:r>
      <w:r w:rsidR="00D16C9A">
        <w:t>и</w:t>
      </w:r>
      <w:r>
        <w:t xml:space="preserve"> научному сообществу открываются новые возможности по созданию все более чувствительных сенсоров малых масштабов</w:t>
      </w:r>
      <w:r w:rsidR="00513206">
        <w:t xml:space="preserve"> таких как, например,</w:t>
      </w:r>
      <w:r>
        <w:t xml:space="preserve"> наномеханически</w:t>
      </w:r>
      <w:r w:rsidR="00513206">
        <w:t>е</w:t>
      </w:r>
      <w:r>
        <w:t xml:space="preserve"> резонатор</w:t>
      </w:r>
      <w:r w:rsidR="00513206">
        <w:t>ы</w:t>
      </w:r>
      <w:r w:rsidR="00D16C9A">
        <w:t xml:space="preserve">. </w:t>
      </w:r>
      <w:r>
        <w:t xml:space="preserve">В силу своих малых размеров и высокой механической добротности, такие устройства </w:t>
      </w:r>
      <w:r w:rsidR="00EA05B8">
        <w:t>оказываются</w:t>
      </w:r>
      <w:r>
        <w:t xml:space="preserve"> чувствительны</w:t>
      </w:r>
      <w:r w:rsidR="003F7FB1">
        <w:t>ми</w:t>
      </w:r>
      <w:r>
        <w:t xml:space="preserve"> сенсор</w:t>
      </w:r>
      <w:r w:rsidR="003F7FB1">
        <w:t>ами</w:t>
      </w:r>
      <w:r>
        <w:t xml:space="preserve">, уже сегодня использующиеся в широком диапазоне направлений современной науки </w:t>
      </w:r>
      <w:r w:rsidRPr="00FD7CBD">
        <w:t>[</w:t>
      </w:r>
      <w:r w:rsidR="00CD3F47">
        <w:t>1</w:t>
      </w:r>
      <w:r w:rsidRPr="00FD7CBD">
        <w:t xml:space="preserve">, </w:t>
      </w:r>
      <w:r w:rsidR="00CD3F47">
        <w:t>2</w:t>
      </w:r>
      <w:r w:rsidRPr="00FD7CBD">
        <w:t>].</w:t>
      </w:r>
      <w:r w:rsidR="00A679E2">
        <w:t xml:space="preserve"> </w:t>
      </w:r>
      <w:r w:rsidR="00A02CA3">
        <w:t>Например</w:t>
      </w:r>
      <w:r>
        <w:t xml:space="preserve">, наномеханические резонаторы были успешно применены для регистрации единичных квантовых вихрей в сверхтекучем гелии-4 </w:t>
      </w:r>
      <w:r w:rsidRPr="00FD7CBD">
        <w:t>[</w:t>
      </w:r>
      <w:r w:rsidR="00CD3F47">
        <w:t>3</w:t>
      </w:r>
      <w:r w:rsidRPr="00FD7CBD">
        <w:t>]</w:t>
      </w:r>
      <w:r w:rsidR="00335C41" w:rsidRPr="00FD7CBD">
        <w:t>.</w:t>
      </w:r>
    </w:p>
    <w:p w14:paraId="3431D18A" w14:textId="69723FD2" w:rsidR="00D635CF" w:rsidRPr="001E2C1B" w:rsidRDefault="00A679E2" w:rsidP="000F0BED">
      <w:pPr>
        <w:ind w:firstLine="397"/>
        <w:jc w:val="both"/>
      </w:pPr>
      <w:r>
        <w:t>Работа посвящена</w:t>
      </w:r>
      <w:r w:rsidR="006420D1">
        <w:t xml:space="preserve"> </w:t>
      </w:r>
      <w:r w:rsidR="00916DAA">
        <w:t>разработ</w:t>
      </w:r>
      <w:r>
        <w:t>ке</w:t>
      </w:r>
      <w:r w:rsidR="00916DAA">
        <w:t xml:space="preserve"> метод</w:t>
      </w:r>
      <w:r>
        <w:t>а</w:t>
      </w:r>
      <w:r w:rsidR="00916DAA">
        <w:t xml:space="preserve"> </w:t>
      </w:r>
      <w:r w:rsidR="006420D1">
        <w:t>численн</w:t>
      </w:r>
      <w:r w:rsidR="00916DAA">
        <w:t>ого</w:t>
      </w:r>
      <w:r w:rsidR="006420D1">
        <w:t xml:space="preserve"> расчет</w:t>
      </w:r>
      <w:r w:rsidR="00916DAA">
        <w:t>а</w:t>
      </w:r>
      <w:r w:rsidR="006420D1">
        <w:t xml:space="preserve"> резонансных характеристик </w:t>
      </w:r>
      <w:r w:rsidR="005C021F">
        <w:t>наномеханических резонаторов</w:t>
      </w:r>
      <w:r w:rsidR="006420D1">
        <w:t xml:space="preserve"> (резонансной частоты и добротности)</w:t>
      </w:r>
      <w:r w:rsidR="009E3788">
        <w:t xml:space="preserve">, </w:t>
      </w:r>
      <w:r w:rsidR="00916DAA">
        <w:t xml:space="preserve">а также </w:t>
      </w:r>
      <w:r w:rsidR="006420D1">
        <w:t>критического тока с соответствующей ему критической амплитудой колебаний нанопровода, при которых динамика колебаний устройства становится нелинейной: на кривой отклика устройства появляется область неустойчивости с точками бифуркации.</w:t>
      </w:r>
      <w:r w:rsidR="0072218B">
        <w:t xml:space="preserve"> Учет нелинейных эффектов, как было продемонстрировано в</w:t>
      </w:r>
      <w:r w:rsidR="0072218B" w:rsidRPr="0072218B">
        <w:t xml:space="preserve"> [</w:t>
      </w:r>
      <w:r w:rsidR="00CD3F47" w:rsidRPr="00F34B89">
        <w:t>4</w:t>
      </w:r>
      <w:r w:rsidR="0072218B" w:rsidRPr="0072218B">
        <w:t xml:space="preserve">], </w:t>
      </w:r>
      <w:r w:rsidR="0072218B">
        <w:t>позволяет более детально изучить динамику квантовых вихрей.</w:t>
      </w:r>
    </w:p>
    <w:p w14:paraId="26E192B2" w14:textId="0F386F40" w:rsidR="00BE68E7" w:rsidRPr="00164B29" w:rsidRDefault="00DD108F" w:rsidP="0072218B">
      <w:pPr>
        <w:ind w:firstLine="397"/>
        <w:jc w:val="both"/>
      </w:pPr>
      <w:r>
        <w:t>В</w:t>
      </w:r>
      <w:r w:rsidR="00BE68E7">
        <w:t>ычислени</w:t>
      </w:r>
      <w:r w:rsidR="00062D29">
        <w:t>е</w:t>
      </w:r>
      <w:r w:rsidR="00BE68E7">
        <w:t xml:space="preserve"> описанных характеристик</w:t>
      </w:r>
      <w:r w:rsidR="00062D29">
        <w:t xml:space="preserve"> производится</w:t>
      </w:r>
      <w:r w:rsidR="00BE68E7">
        <w:t xml:space="preserve"> при помощи методов машинного обучения. </w:t>
      </w:r>
      <w:r w:rsidR="0072218B">
        <w:t>Сбор данных для моделей машинного обучения проводился как при помощи программного обеспечения для метода конечных элементов, позволяющего найти резонансные параметры, так и при помощи разработанного алгоритма нахождения критических параметров для нелинейной постановки задачи.</w:t>
      </w:r>
      <w:r w:rsidR="00CB33C0">
        <w:t xml:space="preserve"> Результаты расчета </w:t>
      </w:r>
      <w:r w:rsidR="00AF4793">
        <w:t xml:space="preserve">по </w:t>
      </w:r>
      <w:r w:rsidR="00CB33C0">
        <w:t>разработанно</w:t>
      </w:r>
      <w:r w:rsidR="00AF4793">
        <w:t>му</w:t>
      </w:r>
      <w:r w:rsidR="00CB33C0">
        <w:t xml:space="preserve"> алгоритм</w:t>
      </w:r>
      <w:r w:rsidR="00AF4793">
        <w:t>у соответствуют расчетам по аналитическим</w:t>
      </w:r>
      <w:r w:rsidR="00EE0483">
        <w:t xml:space="preserve"> </w:t>
      </w:r>
      <w:r w:rsidR="00AF4793">
        <w:t>выражениям с погрешностью</w:t>
      </w:r>
      <w:r w:rsidR="00CB33C0"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Δ</m:t>
        </m:r>
        <m:r>
          <w:rPr>
            <w:rFonts w:ascii="Cambria Math" w:hAnsi="Cambria Math"/>
          </w:rPr>
          <m:t>=4 %</m:t>
        </m:r>
      </m:oMath>
      <w:r w:rsidR="00AF4793">
        <w:t>.</w:t>
      </w:r>
      <w:r w:rsidR="00A679E2">
        <w:t xml:space="preserve"> Пример </w:t>
      </w:r>
      <w:r w:rsidR="0097043F">
        <w:t>визуализации</w:t>
      </w:r>
      <w:r w:rsidR="00A679E2">
        <w:t xml:space="preserve"> нелинейного отклика устройства приведен на </w:t>
      </w:r>
      <w:r w:rsidR="00A679E2" w:rsidRPr="00A679E2">
        <w:t>рис.1</w:t>
      </w:r>
      <w:r w:rsidR="00A679E2">
        <w:t>.</w:t>
      </w:r>
    </w:p>
    <w:p w14:paraId="4F5FFABC" w14:textId="03D5806A" w:rsidR="00603E02" w:rsidRPr="003B44CB" w:rsidRDefault="00E150F4" w:rsidP="003B44CB">
      <w:pPr>
        <w:ind w:firstLine="397"/>
        <w:jc w:val="both"/>
      </w:pPr>
      <w:r>
        <w:t xml:space="preserve">Преимуществом использования методов машинного обучения является совокупность высокой точности предсказаний (по метрикам </w:t>
      </w:r>
      <m:oMath>
        <m:r>
          <w:rPr>
            <w:rFonts w:ascii="Cambria Math" w:hAnsi="Cambria Math"/>
            <w:lang w:val="en-US"/>
          </w:rPr>
          <m:t>RMAE</m:t>
        </m:r>
        <m:r>
          <w:rPr>
            <w:rFonts w:ascii="Cambria Math" w:hAnsi="Cambria Math"/>
          </w:rPr>
          <m:t>≈0.05</m:t>
        </m:r>
      </m:oMath>
      <w:r>
        <w:rPr>
          <w:lang w:val="lv-LV"/>
        </w:rPr>
        <w:t xml:space="preserve"> </w:t>
      </w:r>
      <w:r>
        <w:t xml:space="preserve">и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≈0.9995</m:t>
        </m:r>
      </m:oMath>
      <w:r>
        <w:rPr>
          <w:lang w:val="lv-LV"/>
        </w:rPr>
        <w:t xml:space="preserve">) </w:t>
      </w:r>
      <w:r>
        <w:t>и большого прироста скорости вычислений при расчетах для большого массива устройств (</w:t>
      </w:r>
      <w:r w:rsidR="00F779E4">
        <w:t xml:space="preserve">длительность вычислений по методу конечных элементов и </w:t>
      </w:r>
      <w:r w:rsidR="003E47EC">
        <w:t xml:space="preserve">с </w:t>
      </w:r>
      <w:r w:rsidR="00F779E4">
        <w:t>помощью моделей машинного обучения</w:t>
      </w:r>
      <w:r>
        <w:t xml:space="preserve"> </w:t>
      </w:r>
      <w:r w:rsidR="00F779E4">
        <w:t>соотносятся как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FEM</m:t>
            </m:r>
          </m:sub>
        </m:sSub>
        <m:r>
          <w:rPr>
            <w:rFonts w:ascii="Cambria Math" w:hAnsi="Cambria Math"/>
          </w:rPr>
          <m:t xml:space="preserve">/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ML</m:t>
            </m:r>
          </m:sub>
        </m:sSub>
        <m:r>
          <w:rPr>
            <w:rFonts w:ascii="Cambria Math" w:hAnsi="Cambria Math"/>
          </w:rPr>
          <m:t xml:space="preserve"> ~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="004975D0">
        <w:t xml:space="preserve"> </w:t>
      </w:r>
      <w:r w:rsidR="004975D0">
        <w:t xml:space="preserve">для </w:t>
      </w:r>
      <m:oMath>
        <m:r>
          <w:rPr>
            <w:rFonts w:ascii="Cambria Math" w:hAnsi="Cambria Math"/>
          </w:rPr>
          <m:t>N=200</m:t>
        </m:r>
      </m:oMath>
      <w:r w:rsidR="004975D0">
        <w:rPr>
          <w:lang w:val="lv-LV"/>
        </w:rPr>
        <w:t xml:space="preserve"> </w:t>
      </w:r>
      <w:r w:rsidR="004975D0">
        <w:t>устройств</w:t>
      </w:r>
      <w:r>
        <w:rPr>
          <w:lang w:val="lv-LV"/>
        </w:rPr>
        <w:t>).</w:t>
      </w:r>
      <w:r w:rsidR="0041151A">
        <w:rPr>
          <w:lang w:val="lv-LV"/>
        </w:rPr>
        <w:t xml:space="preserve"> Также, в силу способности моделей машинного обучения обобщать большие объемы данных, был проведен качественный анализ зависимости резонансных параметров от </w:t>
      </w:r>
      <w:r w:rsidR="003B44CB">
        <w:rPr>
          <w:lang w:val="lv-LV"/>
        </w:rPr>
        <w:t>параметров устройства,</w:t>
      </w:r>
      <w:r w:rsidR="0041151A">
        <w:rPr>
          <w:lang w:val="lv-LV"/>
        </w:rPr>
        <w:t xml:space="preserve"> кот</w:t>
      </w:r>
      <w:r w:rsidR="00164B29">
        <w:rPr>
          <w:lang w:val="lv-LV"/>
        </w:rPr>
        <w:t>орый позволил определить</w:t>
      </w:r>
      <w:r w:rsidR="007F4FC4">
        <w:rPr>
          <w:lang w:val="lv-LV"/>
        </w:rPr>
        <w:t xml:space="preserve"> входные величины, которые сильнее всего определяют значение резонансных параметров.</w:t>
      </w:r>
    </w:p>
    <w:p w14:paraId="1DEB99B8" w14:textId="41D644E4" w:rsidR="0012128A" w:rsidRDefault="0012128A" w:rsidP="00603E02">
      <w:pPr>
        <w:jc w:val="both"/>
      </w:pPr>
    </w:p>
    <w:tbl>
      <w:tblPr>
        <w:tblW w:w="0" w:type="dxa"/>
        <w:jc w:val="center"/>
        <w:tblLayout w:type="fixed"/>
        <w:tblLook w:val="0000" w:firstRow="0" w:lastRow="0" w:firstColumn="0" w:lastColumn="0" w:noHBand="0" w:noVBand="0"/>
      </w:tblPr>
      <w:tblGrid>
        <w:gridCol w:w="10050"/>
        <w:gridCol w:w="263"/>
        <w:gridCol w:w="15"/>
      </w:tblGrid>
      <w:tr w:rsidR="0012128A" w14:paraId="02116BC4" w14:textId="77777777">
        <w:trPr>
          <w:gridAfter w:val="1"/>
          <w:wAfter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7274EFD9" w14:textId="77777777" w:rsidR="0012128A" w:rsidRDefault="0012128A">
            <w:pPr>
              <w:snapToGrid w:val="0"/>
              <w:rPr>
                <w:lang w:eastAsia="ru-RU"/>
              </w:rPr>
            </w:pPr>
          </w:p>
          <w:p w14:paraId="0B224707" w14:textId="33B68F3D" w:rsidR="0012128A" w:rsidRDefault="00BF670B">
            <w:pPr>
              <w:ind w:firstLine="426"/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 wp14:anchorId="7DA1E5E8" wp14:editId="0310A227">
                  <wp:extent cx="3400425" cy="2768494"/>
                  <wp:effectExtent l="0" t="0" r="0" b="0"/>
                  <wp:docPr id="1992952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680" cy="277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  <w:shd w:val="clear" w:color="auto" w:fill="auto"/>
          </w:tcPr>
          <w:p w14:paraId="3D0BA04D" w14:textId="77777777" w:rsidR="0012128A" w:rsidRDefault="0012128A">
            <w:pPr>
              <w:snapToGrid w:val="0"/>
              <w:ind w:firstLine="426"/>
            </w:pPr>
          </w:p>
        </w:tc>
      </w:tr>
      <w:tr w:rsidR="0012128A" w14:paraId="05CAD44A" w14:textId="77777777" w:rsidTr="00164B29">
        <w:trPr>
          <w:trHeight w:val="432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715FDDBF" w14:textId="5FEAF5C5" w:rsidR="0012128A" w:rsidRPr="00BB4084" w:rsidRDefault="00000000">
            <w:pPr>
              <w:ind w:firstLine="426"/>
              <w:jc w:val="center"/>
            </w:pPr>
            <w:r>
              <w:rPr>
                <w:b/>
                <w:i/>
                <w:sz w:val="22"/>
                <w:szCs w:val="22"/>
              </w:rPr>
              <w:t>Рис. 1.</w:t>
            </w:r>
            <w:r>
              <w:rPr>
                <w:sz w:val="22"/>
                <w:szCs w:val="22"/>
              </w:rPr>
              <w:t xml:space="preserve"> </w:t>
            </w:r>
            <w:r w:rsidR="00D16C9A">
              <w:rPr>
                <w:sz w:val="22"/>
                <w:szCs w:val="22"/>
              </w:rPr>
              <w:t xml:space="preserve">Модельный расчет </w:t>
            </w:r>
            <w:r w:rsidR="00D74F5B">
              <w:rPr>
                <w:sz w:val="22"/>
                <w:szCs w:val="22"/>
              </w:rPr>
              <w:t>амплитуды колебаний</w:t>
            </w:r>
            <w:r w:rsidR="00D16C9A">
              <w:rPr>
                <w:sz w:val="22"/>
                <w:szCs w:val="22"/>
              </w:rPr>
              <w:t xml:space="preserve"> наномеханического резонатора при наличии нелинейности</w:t>
            </w:r>
            <w:r w:rsidR="00B20AAC">
              <w:rPr>
                <w:sz w:val="22"/>
                <w:szCs w:val="22"/>
              </w:rPr>
              <w:t xml:space="preserve"> для нескольких значений силы тока через нанопровод. Син</w:t>
            </w:r>
            <w:r w:rsidR="00F779E4">
              <w:rPr>
                <w:sz w:val="22"/>
                <w:szCs w:val="22"/>
              </w:rPr>
              <w:t>яя штриховая линия</w:t>
            </w:r>
            <w:r w:rsidR="00B20AAC">
              <w:rPr>
                <w:sz w:val="22"/>
                <w:szCs w:val="22"/>
              </w:rPr>
              <w:t xml:space="preserve"> указ</w:t>
            </w:r>
            <w:r w:rsidR="00F779E4">
              <w:rPr>
                <w:sz w:val="22"/>
                <w:szCs w:val="22"/>
              </w:rPr>
              <w:t>ывает на</w:t>
            </w:r>
            <w:r w:rsidR="00B20AAC">
              <w:rPr>
                <w:sz w:val="22"/>
                <w:szCs w:val="22"/>
              </w:rPr>
              <w:t xml:space="preserve"> критическ</w:t>
            </w:r>
            <w:r w:rsidR="00F779E4">
              <w:rPr>
                <w:sz w:val="22"/>
                <w:szCs w:val="22"/>
              </w:rPr>
              <w:t>ую</w:t>
            </w:r>
            <w:r w:rsidR="00B20AAC">
              <w:rPr>
                <w:sz w:val="22"/>
                <w:szCs w:val="22"/>
              </w:rPr>
              <w:t xml:space="preserve"> амплитуд</w:t>
            </w:r>
            <w:r w:rsidR="00F779E4">
              <w:rPr>
                <w:sz w:val="22"/>
                <w:szCs w:val="22"/>
              </w:rPr>
              <w:t>у</w:t>
            </w:r>
            <w:r w:rsidR="00B20AAC">
              <w:rPr>
                <w:sz w:val="22"/>
                <w:szCs w:val="22"/>
              </w:rPr>
              <w:t xml:space="preserve"> колебаний нанопровода.</w:t>
            </w:r>
            <w:r w:rsidR="00BB4084">
              <w:rPr>
                <w:sz w:val="22"/>
                <w:szCs w:val="22"/>
                <w:lang w:val="lv-LV"/>
              </w:rPr>
              <w:t xml:space="preserve"> Выполнен только прямой проход (по возрастающей частоте), поэтому кривые с нелинейным отклико</w:t>
            </w:r>
            <w:r w:rsidR="002E0A2E">
              <w:rPr>
                <w:sz w:val="22"/>
                <w:szCs w:val="22"/>
                <w:lang w:val="lv-LV"/>
              </w:rPr>
              <w:t xml:space="preserve">м </w:t>
            </w:r>
            <w:r w:rsidR="00077E1C">
              <w:rPr>
                <w:sz w:val="22"/>
                <w:szCs w:val="22"/>
                <w:lang w:val="lv-LV"/>
              </w:rPr>
              <w:t>обрываются</w:t>
            </w:r>
            <w:r w:rsidR="009D5F5F">
              <w:rPr>
                <w:sz w:val="22"/>
                <w:szCs w:val="22"/>
                <w:lang w:val="lv-LV"/>
              </w:rPr>
              <w:t xml:space="preserve"> (видно на вставке)</w:t>
            </w:r>
            <w:r w:rsidR="00BB4084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513ED4A7" w14:textId="77777777" w:rsidR="0012128A" w:rsidRDefault="0012128A">
      <w:pPr>
        <w:ind w:firstLine="426"/>
        <w:jc w:val="center"/>
      </w:pPr>
    </w:p>
    <w:p w14:paraId="7EC0D138" w14:textId="77777777" w:rsidR="00687AD2" w:rsidRDefault="00687AD2" w:rsidP="00687AD2">
      <w:pPr>
        <w:ind w:firstLine="397"/>
        <w:jc w:val="both"/>
      </w:pPr>
    </w:p>
    <w:p w14:paraId="392D0721" w14:textId="1F5AF049" w:rsidR="00687AD2" w:rsidRPr="00003881" w:rsidRDefault="00687AD2" w:rsidP="00687AD2">
      <w:pPr>
        <w:ind w:firstLine="397"/>
        <w:jc w:val="both"/>
        <w:rPr>
          <w:color w:val="000000" w:themeColor="text1"/>
          <w:lang w:val="en-US"/>
        </w:rPr>
      </w:pPr>
      <w:r>
        <w:t>И</w:t>
      </w:r>
      <w:r w:rsidRPr="004B4008">
        <w:t xml:space="preserve">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медицина». В работе </w:t>
      </w:r>
      <w:r w:rsidRPr="00003881">
        <w:rPr>
          <w:color w:val="000000" w:themeColor="text1"/>
        </w:rPr>
        <w:t>использовалось оборудование Учебно-методического центра литографии и микроскопии МГУ им. М</w:t>
      </w:r>
      <w:r w:rsidRPr="00003881">
        <w:rPr>
          <w:color w:val="000000" w:themeColor="text1"/>
          <w:lang w:val="en-US"/>
        </w:rPr>
        <w:t>.</w:t>
      </w:r>
      <w:r w:rsidRPr="00003881">
        <w:rPr>
          <w:color w:val="000000" w:themeColor="text1"/>
        </w:rPr>
        <w:t>В</w:t>
      </w:r>
      <w:r w:rsidRPr="00003881">
        <w:rPr>
          <w:color w:val="000000" w:themeColor="text1"/>
          <w:lang w:val="en-US"/>
        </w:rPr>
        <w:t>. </w:t>
      </w:r>
      <w:r w:rsidRPr="00003881">
        <w:rPr>
          <w:color w:val="000000" w:themeColor="text1"/>
        </w:rPr>
        <w:t>Ломоносова</w:t>
      </w:r>
      <w:r w:rsidRPr="00003881">
        <w:rPr>
          <w:color w:val="000000" w:themeColor="text1"/>
          <w:lang w:val="en-US"/>
        </w:rPr>
        <w:t>.</w:t>
      </w:r>
    </w:p>
    <w:p w14:paraId="703D3DEC" w14:textId="77777777" w:rsidR="0012128A" w:rsidRPr="00003881" w:rsidRDefault="0012128A">
      <w:pPr>
        <w:ind w:firstLine="426"/>
        <w:jc w:val="both"/>
        <w:rPr>
          <w:b/>
          <w:color w:val="000000" w:themeColor="text1"/>
        </w:rPr>
      </w:pPr>
    </w:p>
    <w:p w14:paraId="787D7480" w14:textId="77777777" w:rsidR="0012128A" w:rsidRPr="00003881" w:rsidRDefault="00000000">
      <w:pPr>
        <w:ind w:firstLine="426"/>
        <w:jc w:val="center"/>
        <w:rPr>
          <w:b/>
          <w:color w:val="000000" w:themeColor="text1"/>
          <w:shd w:val="clear" w:color="auto" w:fill="FFFFFF"/>
        </w:rPr>
      </w:pPr>
      <w:r w:rsidRPr="00003881">
        <w:rPr>
          <w:b/>
          <w:color w:val="000000" w:themeColor="text1"/>
          <w:shd w:val="clear" w:color="auto" w:fill="FFFFFF"/>
        </w:rPr>
        <w:t>Литература</w:t>
      </w:r>
    </w:p>
    <w:p w14:paraId="722017BF" w14:textId="77777777" w:rsidR="00CD3F47" w:rsidRPr="00003881" w:rsidRDefault="00CD3F47">
      <w:pPr>
        <w:ind w:firstLine="426"/>
        <w:jc w:val="center"/>
        <w:rPr>
          <w:color w:val="000000" w:themeColor="text1"/>
          <w:lang w:val="en-US"/>
        </w:rPr>
      </w:pPr>
    </w:p>
    <w:p w14:paraId="7FEB56BF" w14:textId="1DE1C8B4" w:rsidR="00FC7E3B" w:rsidRPr="00BB4084" w:rsidRDefault="00CD3F47">
      <w:pPr>
        <w:pStyle w:val="af1"/>
        <w:numPr>
          <w:ilvl w:val="0"/>
          <w:numId w:val="2"/>
        </w:numPr>
        <w:ind w:left="709" w:hanging="283"/>
        <w:rPr>
          <w:color w:val="000000" w:themeColor="text1"/>
          <w:lang w:val="en-US"/>
        </w:rPr>
      </w:pPr>
      <w:r w:rsidRPr="00003881">
        <w:rPr>
          <w:color w:val="000000" w:themeColor="text1"/>
          <w:shd w:val="clear" w:color="auto" w:fill="FFFFFF"/>
          <w:lang w:val="en-US"/>
        </w:rPr>
        <w:t>Sage, Eric, et al. "Single-particle mass spectrometry with arrays of frequency-addressed nanomechanical resonators." </w:t>
      </w:r>
      <w:r w:rsidRPr="00BB4084">
        <w:rPr>
          <w:i/>
          <w:iCs/>
          <w:color w:val="000000" w:themeColor="text1"/>
          <w:shd w:val="clear" w:color="auto" w:fill="FFFFFF"/>
          <w:lang w:val="en-US"/>
        </w:rPr>
        <w:t>Nature communications</w:t>
      </w:r>
      <w:r w:rsidRPr="00BB4084">
        <w:rPr>
          <w:color w:val="000000" w:themeColor="text1"/>
          <w:shd w:val="clear" w:color="auto" w:fill="FFFFFF"/>
          <w:lang w:val="en-US"/>
        </w:rPr>
        <w:t> 9.1 (2018): 3283.</w:t>
      </w:r>
    </w:p>
    <w:p w14:paraId="3F40A9F4" w14:textId="77777777" w:rsidR="00CD3F47" w:rsidRPr="00BB4084" w:rsidRDefault="00CD3F47" w:rsidP="00CD3F47">
      <w:pPr>
        <w:pStyle w:val="af1"/>
        <w:ind w:left="709"/>
        <w:rPr>
          <w:color w:val="000000" w:themeColor="text1"/>
          <w:lang w:val="en-US"/>
        </w:rPr>
      </w:pPr>
    </w:p>
    <w:p w14:paraId="18129255" w14:textId="25BD5CE2" w:rsidR="00CD3F47" w:rsidRPr="00003881" w:rsidRDefault="00CD3F47">
      <w:pPr>
        <w:pStyle w:val="af1"/>
        <w:numPr>
          <w:ilvl w:val="0"/>
          <w:numId w:val="2"/>
        </w:numPr>
        <w:ind w:left="709" w:hanging="283"/>
        <w:rPr>
          <w:color w:val="000000" w:themeColor="text1"/>
        </w:rPr>
      </w:pPr>
      <w:r w:rsidRPr="00003881">
        <w:rPr>
          <w:color w:val="000000" w:themeColor="text1"/>
          <w:shd w:val="clear" w:color="auto" w:fill="FFFFFF"/>
          <w:lang w:val="en-US"/>
        </w:rPr>
        <w:t>Blaikie, Andrew, David Miller, and Benjamín J. Alemán. "A fast and sensitive room-temperature graphene nanomechanical bolometer." </w:t>
      </w:r>
      <w:r w:rsidRPr="00003881">
        <w:rPr>
          <w:i/>
          <w:iCs/>
          <w:color w:val="000000" w:themeColor="text1"/>
          <w:shd w:val="clear" w:color="auto" w:fill="FFFFFF"/>
        </w:rPr>
        <w:t>Nature communications</w:t>
      </w:r>
      <w:r w:rsidRPr="00003881">
        <w:rPr>
          <w:color w:val="000000" w:themeColor="text1"/>
          <w:shd w:val="clear" w:color="auto" w:fill="FFFFFF"/>
        </w:rPr>
        <w:t> 10.1 (2019): 1-8.</w:t>
      </w:r>
    </w:p>
    <w:p w14:paraId="370B6BB1" w14:textId="77777777" w:rsidR="00CD3F47" w:rsidRPr="00003881" w:rsidRDefault="00CD3F47" w:rsidP="00CD3F47">
      <w:pPr>
        <w:pStyle w:val="af1"/>
        <w:rPr>
          <w:color w:val="000000" w:themeColor="text1"/>
        </w:rPr>
      </w:pPr>
    </w:p>
    <w:p w14:paraId="0BE04D8A" w14:textId="02CAC2AD" w:rsidR="00CD3F47" w:rsidRPr="00BB4084" w:rsidRDefault="00CD3F47">
      <w:pPr>
        <w:pStyle w:val="af1"/>
        <w:numPr>
          <w:ilvl w:val="0"/>
          <w:numId w:val="2"/>
        </w:numPr>
        <w:ind w:left="709" w:hanging="283"/>
        <w:rPr>
          <w:color w:val="000000" w:themeColor="text1"/>
          <w:lang w:val="en-US"/>
        </w:rPr>
      </w:pPr>
      <w:r w:rsidRPr="00003881">
        <w:rPr>
          <w:color w:val="000000" w:themeColor="text1"/>
          <w:shd w:val="clear" w:color="auto" w:fill="FFFFFF"/>
          <w:lang w:val="en-US"/>
        </w:rPr>
        <w:t>Guthrie, Andrew, et al. "Nanoscale real-time detection of quantum vortices at millikelvin temperatures." </w:t>
      </w:r>
      <w:r w:rsidRPr="00003881">
        <w:rPr>
          <w:i/>
          <w:iCs/>
          <w:color w:val="000000" w:themeColor="text1"/>
          <w:shd w:val="clear" w:color="auto" w:fill="FFFFFF"/>
          <w:lang w:val="en-US"/>
        </w:rPr>
        <w:t>Nature Communications</w:t>
      </w:r>
      <w:r w:rsidRPr="00003881">
        <w:rPr>
          <w:color w:val="000000" w:themeColor="text1"/>
          <w:shd w:val="clear" w:color="auto" w:fill="FFFFFF"/>
          <w:lang w:val="en-US"/>
        </w:rPr>
        <w:t> 12.1 (2021): 1-6.</w:t>
      </w:r>
    </w:p>
    <w:p w14:paraId="399D74AF" w14:textId="77777777" w:rsidR="00CD3F47" w:rsidRPr="00BB4084" w:rsidRDefault="00CD3F47" w:rsidP="00CD3F47">
      <w:pPr>
        <w:pStyle w:val="af1"/>
        <w:rPr>
          <w:color w:val="000000" w:themeColor="text1"/>
          <w:lang w:val="en-US"/>
        </w:rPr>
      </w:pPr>
    </w:p>
    <w:p w14:paraId="51EE2F67" w14:textId="78A7D90A" w:rsidR="00CD3F47" w:rsidRPr="00003881" w:rsidRDefault="00F34B89">
      <w:pPr>
        <w:pStyle w:val="af1"/>
        <w:numPr>
          <w:ilvl w:val="0"/>
          <w:numId w:val="2"/>
        </w:numPr>
        <w:ind w:left="709" w:hanging="283"/>
        <w:rPr>
          <w:color w:val="000000" w:themeColor="text1"/>
          <w:lang w:val="en-US"/>
        </w:rPr>
      </w:pPr>
      <w:r w:rsidRPr="00003881">
        <w:rPr>
          <w:color w:val="000000" w:themeColor="text1"/>
          <w:shd w:val="clear" w:color="auto" w:fill="FFFFFF"/>
          <w:lang w:val="en-US"/>
        </w:rPr>
        <w:t xml:space="preserve">Morrison, Nathaniel. "Nonlinear Response of Nanoelectromechanical Resonators in Trapped Superfluid Vortex States." </w:t>
      </w:r>
      <w:r w:rsidRPr="00003881">
        <w:rPr>
          <w:i/>
          <w:iCs/>
          <w:color w:val="000000" w:themeColor="text1"/>
          <w:shd w:val="clear" w:color="auto" w:fill="FFFFFF"/>
          <w:lang w:val="en-US"/>
        </w:rPr>
        <w:t>Diss. Lancaster University</w:t>
      </w:r>
      <w:r w:rsidRPr="00003881">
        <w:rPr>
          <w:color w:val="000000" w:themeColor="text1"/>
          <w:shd w:val="clear" w:color="auto" w:fill="FFFFFF"/>
          <w:lang w:val="en-US"/>
        </w:rPr>
        <w:t xml:space="preserve"> (United Kingdom), 2021.</w:t>
      </w:r>
    </w:p>
    <w:sectPr w:rsidR="00CD3F47" w:rsidRPr="00003881">
      <w:footerReference w:type="default" r:id="rId8"/>
      <w:footerReference w:type="first" r:id="rId9"/>
      <w:pgSz w:w="11906" w:h="16838"/>
      <w:pgMar w:top="1134" w:right="1361" w:bottom="1247" w:left="136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839" w14:textId="77777777" w:rsidR="006453CD" w:rsidRDefault="006453CD">
      <w:r>
        <w:separator/>
      </w:r>
    </w:p>
  </w:endnote>
  <w:endnote w:type="continuationSeparator" w:id="0">
    <w:p w14:paraId="77B8A2DB" w14:textId="77777777" w:rsidR="006453CD" w:rsidRDefault="0064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513A" w14:textId="77777777" w:rsidR="0012128A" w:rsidRDefault="0012128A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64A4" w14:textId="77777777" w:rsidR="0012128A" w:rsidRDefault="001212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CF78" w14:textId="77777777" w:rsidR="006453CD" w:rsidRDefault="006453CD">
      <w:r>
        <w:separator/>
      </w:r>
    </w:p>
  </w:footnote>
  <w:footnote w:type="continuationSeparator" w:id="0">
    <w:p w14:paraId="0A1B685C" w14:textId="77777777" w:rsidR="006453CD" w:rsidRDefault="00645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i w:val="0"/>
        <w:szCs w:val="20"/>
        <w:lang w:val="en-US"/>
      </w:rPr>
    </w:lvl>
  </w:abstractNum>
  <w:num w:numId="1" w16cid:durableId="1942686560">
    <w:abstractNumId w:val="0"/>
  </w:num>
  <w:num w:numId="2" w16cid:durableId="2145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1C"/>
    <w:rsid w:val="00003881"/>
    <w:rsid w:val="000106D5"/>
    <w:rsid w:val="00062D29"/>
    <w:rsid w:val="00077E1C"/>
    <w:rsid w:val="0009074C"/>
    <w:rsid w:val="000B3396"/>
    <w:rsid w:val="000C73D9"/>
    <w:rsid w:val="000F0BED"/>
    <w:rsid w:val="0012128A"/>
    <w:rsid w:val="00121690"/>
    <w:rsid w:val="00133241"/>
    <w:rsid w:val="00164B29"/>
    <w:rsid w:val="001E2C1B"/>
    <w:rsid w:val="00265844"/>
    <w:rsid w:val="00297C46"/>
    <w:rsid w:val="002E0A2E"/>
    <w:rsid w:val="0032037A"/>
    <w:rsid w:val="00335C41"/>
    <w:rsid w:val="003670A8"/>
    <w:rsid w:val="003B44CB"/>
    <w:rsid w:val="003E47EC"/>
    <w:rsid w:val="003F7FB1"/>
    <w:rsid w:val="00406A50"/>
    <w:rsid w:val="0041151A"/>
    <w:rsid w:val="004975D0"/>
    <w:rsid w:val="00513206"/>
    <w:rsid w:val="005734C8"/>
    <w:rsid w:val="005C021F"/>
    <w:rsid w:val="00603E02"/>
    <w:rsid w:val="006163F4"/>
    <w:rsid w:val="006420D1"/>
    <w:rsid w:val="006453CD"/>
    <w:rsid w:val="00685C0B"/>
    <w:rsid w:val="00687AD2"/>
    <w:rsid w:val="006B2E8C"/>
    <w:rsid w:val="007111C7"/>
    <w:rsid w:val="0072218B"/>
    <w:rsid w:val="00777B4B"/>
    <w:rsid w:val="007F4FC4"/>
    <w:rsid w:val="00820943"/>
    <w:rsid w:val="0083399B"/>
    <w:rsid w:val="00916DAA"/>
    <w:rsid w:val="0097043F"/>
    <w:rsid w:val="009D5F5F"/>
    <w:rsid w:val="009E3788"/>
    <w:rsid w:val="009E3DF4"/>
    <w:rsid w:val="00A02CA3"/>
    <w:rsid w:val="00A21871"/>
    <w:rsid w:val="00A44552"/>
    <w:rsid w:val="00A66627"/>
    <w:rsid w:val="00A679E2"/>
    <w:rsid w:val="00AC45FF"/>
    <w:rsid w:val="00AF4793"/>
    <w:rsid w:val="00B20AAC"/>
    <w:rsid w:val="00BB056A"/>
    <w:rsid w:val="00BB4084"/>
    <w:rsid w:val="00BE68E7"/>
    <w:rsid w:val="00BF670B"/>
    <w:rsid w:val="00C50D2D"/>
    <w:rsid w:val="00C56C1C"/>
    <w:rsid w:val="00C911C7"/>
    <w:rsid w:val="00CB33C0"/>
    <w:rsid w:val="00CD3F47"/>
    <w:rsid w:val="00D16C9A"/>
    <w:rsid w:val="00D269EF"/>
    <w:rsid w:val="00D635CF"/>
    <w:rsid w:val="00D74F5B"/>
    <w:rsid w:val="00DD0A49"/>
    <w:rsid w:val="00DD108F"/>
    <w:rsid w:val="00E150F4"/>
    <w:rsid w:val="00EA05B8"/>
    <w:rsid w:val="00EE0483"/>
    <w:rsid w:val="00EF5A98"/>
    <w:rsid w:val="00F34B89"/>
    <w:rsid w:val="00F72C7F"/>
    <w:rsid w:val="00F779E4"/>
    <w:rsid w:val="00FA064D"/>
    <w:rsid w:val="00FC7E3B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6A8839"/>
  <w15:chartTrackingRefBased/>
  <w15:docId w15:val="{678CF6E3-80F2-41D0-BDE8-BE01A71B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1"/>
      </w:numPr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 w:val="0"/>
      <w:szCs w:val="20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Без интервала Знак"/>
    <w:rPr>
      <w:rFonts w:ascii="Calibri" w:hAnsi="Calibri" w:cs="Calibri"/>
      <w:sz w:val="22"/>
      <w:szCs w:val="22"/>
      <w:lang w:val="ru-RU" w:bidi="ar-SA"/>
    </w:rPr>
  </w:style>
  <w:style w:type="character" w:customStyle="1" w:styleId="20">
    <w:name w:val="Заголовок 2 Знак"/>
    <w:rPr>
      <w:b/>
      <w:bCs/>
      <w:iCs/>
      <w:sz w:val="28"/>
      <w:szCs w:val="28"/>
      <w:lang w:val="ru-RU" w:bidi="ar-SA"/>
    </w:rPr>
  </w:style>
  <w:style w:type="character" w:styleId="a6">
    <w:name w:val="page number"/>
    <w:basedOn w:val="1"/>
  </w:style>
  <w:style w:type="character" w:styleId="a7">
    <w:name w:val="Placeholder Text"/>
    <w:rPr>
      <w:color w:val="808080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e">
    <w:name w:val="Обычный (веб)"/>
    <w:basedOn w:val="a"/>
    <w:pPr>
      <w:spacing w:before="280" w:after="280"/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Pol</cp:lastModifiedBy>
  <cp:revision>9</cp:revision>
  <cp:lastPrinted>1995-11-21T14:41:00Z</cp:lastPrinted>
  <dcterms:created xsi:type="dcterms:W3CDTF">2024-02-16T15:36:00Z</dcterms:created>
  <dcterms:modified xsi:type="dcterms:W3CDTF">2024-02-16T16:18:00Z</dcterms:modified>
</cp:coreProperties>
</file>