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i/>
          <w:color w:val="000000"/>
        </w:rPr>
      </w:pPr>
      <w:bookmarkStart w:id="0" w:name="_GoBack"/>
      <w:bookmarkEnd w:id="0"/>
      <w:r>
        <w:rPr>
          <w:b/>
        </w:rPr>
        <w:t>Особенности распространения спекловых фрактальных структур в свободном пространстве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Кубанов Р.Т.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Зотов  А.М.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Мишин А.Ю.</w:t>
      </w:r>
      <w:r>
        <w:rPr>
          <w:b/>
          <w:i/>
          <w:color w:val="000000"/>
          <w:vertAlign w:val="superscript"/>
        </w:rPr>
        <w:t>3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Мохов В.И.</w:t>
      </w:r>
      <w:r>
        <w:rPr>
          <w:b/>
          <w:i/>
          <w:color w:val="000000"/>
          <w:vertAlign w:val="superscript"/>
        </w:rPr>
        <w:t>4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аспирант, </w:t>
      </w: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с.н.с.,</w:t>
      </w: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инженер, </w:t>
      </w: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>студент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rStyle w:val="21"/>
          <w:i/>
        </w:rPr>
        <w:t>ytytyfgtgf@gmail.com</w:t>
      </w:r>
      <w:r>
        <w:rPr>
          <w:i/>
          <w:color w:val="000000"/>
        </w:rPr>
        <w:t xml:space="preserve"> </w:t>
      </w:r>
    </w:p>
    <w:p/>
    <w:p>
      <w:pPr>
        <w:pStyle w:val="19"/>
        <w:ind w:firstLine="397"/>
        <w:jc w:val="both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Спекловые фрактальные структуры нашли использование в оптической диагностике и при проведении медикобиологических исследований. </w:t>
      </w:r>
      <w:r>
        <w:rPr>
          <w:rFonts w:ascii="Times New Roman" w:hAnsi="Times New Roman"/>
          <w:sz w:val="24"/>
          <w:szCs w:val="24"/>
        </w:rPr>
        <w:t xml:space="preserve">Однако, несмотря на достаточно подробную проработку приложений прикладной направленности, некоторые  вопросы фундаментального характера нуждаются в более подробном изучении. Ряд из них связан с изучением особенностей дифракционного распространения волн со спекловой структурой. </w:t>
      </w:r>
      <w:r>
        <w:rPr>
          <w:rFonts w:ascii="Times New Roman" w:hAnsi="Times New Roman"/>
          <w:sz w:val="24"/>
          <w:szCs w:val="24"/>
          <w:lang w:val="ru-RU"/>
        </w:rPr>
        <w:t>Работы, посвященные этой проблеме (например, обширная работа [1]), обходят, как правило, вопрос  о влиянии дифракционного перераспределения инт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енсивности светового пучка на его фрактальные свойства. </w:t>
      </w:r>
      <w:r>
        <w:rPr>
          <w:rFonts w:ascii="Times New Roman" w:hAnsi="Times New Roman"/>
          <w:sz w:val="24"/>
          <w:szCs w:val="24"/>
          <w:highlight w:val="none"/>
        </w:rPr>
        <w:t xml:space="preserve">В данной работе фрактальные параметры излучения рассматриваются совместно с изменяющимися в процессе распространения статистическими характеристиками. </w:t>
      </w:r>
    </w:p>
    <w:p>
      <w:pPr>
        <w:pStyle w:val="19"/>
        <w:ind w:firstLine="397"/>
        <w:jc w:val="both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 модельном представлении изучаемых спекловых полей применялся способ, основанный на использовании свойств двумерной функции Вейерштрасса со случайными фазами ее гармоник [2]. При удалении от начальной плоскости структура излучении рассчитывалась методом разложения начального поля по плоским волнам и последующим их сложением с учетом фазовых набегов. Происходящие изменения в структуре спекловых волн при их распространении качественно иллюстрирует рис.1, на котором приведена структура поля в начальной плоскости (рис.1а) и на расстоянии от нее </w:t>
      </w:r>
      <w:r>
        <w:rPr>
          <w:rFonts w:ascii="Times New Roman" w:hAnsi="Times New Roman"/>
          <w:i/>
          <w:sz w:val="24"/>
          <w:szCs w:val="24"/>
          <w:highlight w:val="none"/>
        </w:rPr>
        <w:t>z</w:t>
      </w:r>
      <w:r>
        <w:rPr>
          <w:rFonts w:ascii="Times New Roman" w:hAnsi="Times New Roman"/>
          <w:i/>
          <w:sz w:val="24"/>
          <w:szCs w:val="24"/>
          <w:highlight w:val="none"/>
          <w:vertAlign w:val="subscript"/>
          <w:lang w:val="ru-RU"/>
        </w:rPr>
        <w:t>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= 0.0001</w:t>
      </w:r>
      <w:r>
        <w:rPr>
          <w:rFonts w:ascii="Times New Roman" w:hAnsi="Times New Roman"/>
          <w:i/>
          <w:sz w:val="24"/>
          <w:szCs w:val="24"/>
          <w:highlight w:val="none"/>
        </w:rPr>
        <w:t>d</w:t>
      </w:r>
      <w:r>
        <w:rPr>
          <w:rFonts w:ascii="Times New Roman" w:hAnsi="Times New Roman"/>
          <w:sz w:val="24"/>
          <w:szCs w:val="24"/>
          <w:highlight w:val="none"/>
          <w:vertAlign w:val="superscript"/>
          <w:lang w:val="ru-RU"/>
        </w:rPr>
        <w:t>2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/λ, где </w:t>
      </w:r>
      <w:r>
        <w:rPr>
          <w:rFonts w:ascii="Times New Roman" w:hAnsi="Times New Roman"/>
          <w:i/>
          <w:sz w:val="24"/>
          <w:szCs w:val="24"/>
          <w:highlight w:val="none"/>
        </w:rPr>
        <w:t>d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– размер рабочего поля, λ – длина волны. </w:t>
      </w:r>
    </w:p>
    <w:p>
      <w:pPr>
        <w:pStyle w:val="19"/>
        <w:ind w:firstLine="397"/>
        <w:jc w:val="center"/>
        <w:rPr>
          <w:highlight w:val="none"/>
          <w:lang w:val="ru-RU"/>
        </w:rPr>
      </w:pPr>
      <w:r>
        <w:rPr>
          <w:highlight w:val="none"/>
          <w:lang w:val="ru-RU"/>
        </w:rPr>
        <w:drawing>
          <wp:inline distT="0" distB="0" distL="114300" distR="114300">
            <wp:extent cx="2508885" cy="1403985"/>
            <wp:effectExtent l="0" t="0" r="5715" b="571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397"/>
        <w:jc w:val="center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>Рис.1. Трансформация спеклового поля.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highlight w:val="none"/>
        </w:rPr>
      </w:pPr>
      <w:r>
        <w:rPr>
          <w:highlight w:val="none"/>
        </w:rPr>
        <w:t xml:space="preserve">Количественный анализ трансформации структуры спекловой волны показал, что такие характеристики поля как плотность вероятности и радиус корреляции значений интенсивности, их стандартное отклонение в области 0 &lt; </w:t>
      </w:r>
      <w:r>
        <w:rPr>
          <w:i/>
          <w:highlight w:val="none"/>
          <w:lang w:val="en-US"/>
        </w:rPr>
        <w:t>z</w:t>
      </w:r>
      <w:r>
        <w:rPr>
          <w:highlight w:val="none"/>
        </w:rPr>
        <w:t xml:space="preserve"> &lt; </w:t>
      </w:r>
      <w:r>
        <w:rPr>
          <w:i/>
          <w:highlight w:val="none"/>
          <w:lang w:val="en-US"/>
        </w:rPr>
        <w:t>z</w:t>
      </w:r>
      <w:r>
        <w:rPr>
          <w:highlight w:val="none"/>
          <w:vertAlign w:val="subscript"/>
        </w:rPr>
        <w:t>1</w:t>
      </w:r>
      <w:r>
        <w:rPr>
          <w:highlight w:val="none"/>
        </w:rPr>
        <w:t xml:space="preserve"> в зависимости от реализации могут претерпевать заметные, а иногда значительные изменения. В то же время, фрактальная размерность, рассчитанная методом покрытий, испытывала отклонения от среднего значения, равного 2.45, не превышающие 2%. Это говорит об устойчивости такой важной характеристики спеклового поля, как его фрактальная размерность.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highlight w:val="none"/>
        </w:rPr>
      </w:pPr>
      <w:r>
        <w:rPr>
          <w:highlight w:val="none"/>
        </w:rPr>
        <w:t>Планируется, что результаты численного моделирования будут использованы для тестирования пространственного модулятора света, с помощью которого могут быть получены фрактальные световые пучки различной конфигурации.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highlight w:val="none"/>
        </w:rPr>
      </w:pPr>
      <w:r>
        <w:rPr>
          <w:b/>
          <w:color w:val="000000"/>
          <w:highlight w:val="none"/>
        </w:rPr>
        <w:t>Литература</w:t>
      </w:r>
    </w:p>
    <w:p>
      <w:pPr>
        <w:pStyle w:val="13"/>
        <w:numPr>
          <w:ilvl w:val="0"/>
          <w:numId w:val="1"/>
        </w:numPr>
        <w:spacing w:before="0" w:beforeAutospacing="0" w:after="0" w:afterAutospacing="0"/>
        <w:jc w:val="both"/>
        <w:rPr>
          <w:highlight w:val="none"/>
        </w:rPr>
      </w:pPr>
      <w:r>
        <w:rPr>
          <w:rStyle w:val="10"/>
          <w:i w:val="0"/>
          <w:highlight w:val="none"/>
        </w:rPr>
        <w:t>Bender N.,</w:t>
      </w:r>
      <w:r>
        <w:rPr>
          <w:highlight w:val="none"/>
        </w:rPr>
        <w:t xml:space="preserve"> Yilmaz H., Bromberg Y., Cao H. Customizing speckle intensity statistics //Optica. 2018. V.5. No.5. P.595 – 600.</w:t>
      </w:r>
    </w:p>
    <w:p>
      <w:pPr>
        <w:numPr>
          <w:ilvl w:val="0"/>
          <w:numId w:val="1"/>
        </w:numPr>
        <w:jc w:val="both"/>
        <w:rPr>
          <w:color w:val="000000"/>
          <w:lang w:val="en-US"/>
        </w:rPr>
      </w:pPr>
      <w:r>
        <w:t xml:space="preserve">Зотов А.М., Короленко П.В., Мишин А.Ю.,. Рыжикова Ю.В. Физические основания нейроэстетики  // </w:t>
      </w:r>
      <w:r>
        <w:rPr>
          <w:rStyle w:val="10"/>
          <w:i w:val="0"/>
        </w:rPr>
        <w:t>Вестник Московского университета. Серия 3: Физика, астрономия</w:t>
      </w:r>
      <w:r>
        <w:rPr>
          <w:i/>
        </w:rPr>
        <w:t>.</w:t>
      </w:r>
      <w:r>
        <w:t xml:space="preserve"> 2019.  № 6. С. 52–57.</w:t>
      </w:r>
      <w:r>
        <w:rPr>
          <w:color w:val="000000"/>
          <w:lang w:val="en-US"/>
        </w:rPr>
        <w:t xml:space="preserve"> 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dvTTc31abc2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vTT5e880a50.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B18F1"/>
    <w:multiLevelType w:val="multilevel"/>
    <w:tmpl w:val="77FB18F1"/>
    <w:lvl w:ilvl="0" w:tentative="0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0E86"/>
    <w:rsid w:val="00063966"/>
    <w:rsid w:val="000742E0"/>
    <w:rsid w:val="00086081"/>
    <w:rsid w:val="000B53B3"/>
    <w:rsid w:val="000C3810"/>
    <w:rsid w:val="000D787E"/>
    <w:rsid w:val="00101A1C"/>
    <w:rsid w:val="00102B40"/>
    <w:rsid w:val="00106375"/>
    <w:rsid w:val="00116478"/>
    <w:rsid w:val="00125B41"/>
    <w:rsid w:val="00130241"/>
    <w:rsid w:val="00142DE1"/>
    <w:rsid w:val="00154B96"/>
    <w:rsid w:val="001A525C"/>
    <w:rsid w:val="001E1346"/>
    <w:rsid w:val="001E61C2"/>
    <w:rsid w:val="001F0493"/>
    <w:rsid w:val="002129E9"/>
    <w:rsid w:val="002264EE"/>
    <w:rsid w:val="0023307C"/>
    <w:rsid w:val="00285F7C"/>
    <w:rsid w:val="0031361E"/>
    <w:rsid w:val="00315B78"/>
    <w:rsid w:val="00320402"/>
    <w:rsid w:val="00330273"/>
    <w:rsid w:val="00363ADE"/>
    <w:rsid w:val="00382ED7"/>
    <w:rsid w:val="00391C38"/>
    <w:rsid w:val="00391E67"/>
    <w:rsid w:val="003B76D6"/>
    <w:rsid w:val="003D214A"/>
    <w:rsid w:val="003D3770"/>
    <w:rsid w:val="00415829"/>
    <w:rsid w:val="0042143B"/>
    <w:rsid w:val="00453757"/>
    <w:rsid w:val="00467358"/>
    <w:rsid w:val="004A26A3"/>
    <w:rsid w:val="004A3636"/>
    <w:rsid w:val="004E0910"/>
    <w:rsid w:val="004F0EDF"/>
    <w:rsid w:val="00522BF1"/>
    <w:rsid w:val="00540B7B"/>
    <w:rsid w:val="00553D51"/>
    <w:rsid w:val="00590166"/>
    <w:rsid w:val="00605CB8"/>
    <w:rsid w:val="00695392"/>
    <w:rsid w:val="006F7A19"/>
    <w:rsid w:val="00775389"/>
    <w:rsid w:val="00797838"/>
    <w:rsid w:val="007B26B4"/>
    <w:rsid w:val="007B3D4E"/>
    <w:rsid w:val="007C36D8"/>
    <w:rsid w:val="007D140C"/>
    <w:rsid w:val="007D1B57"/>
    <w:rsid w:val="007F2744"/>
    <w:rsid w:val="0082409B"/>
    <w:rsid w:val="008321F1"/>
    <w:rsid w:val="00873056"/>
    <w:rsid w:val="00874B14"/>
    <w:rsid w:val="00880ADF"/>
    <w:rsid w:val="008931BE"/>
    <w:rsid w:val="008A140F"/>
    <w:rsid w:val="00921D45"/>
    <w:rsid w:val="00966C8E"/>
    <w:rsid w:val="009A66DB"/>
    <w:rsid w:val="009B2F80"/>
    <w:rsid w:val="009B3300"/>
    <w:rsid w:val="009E471F"/>
    <w:rsid w:val="009F3380"/>
    <w:rsid w:val="00A02163"/>
    <w:rsid w:val="00A239A4"/>
    <w:rsid w:val="00A314FE"/>
    <w:rsid w:val="00A93BBA"/>
    <w:rsid w:val="00AA3639"/>
    <w:rsid w:val="00B00EBA"/>
    <w:rsid w:val="00B20D9B"/>
    <w:rsid w:val="00B4226E"/>
    <w:rsid w:val="00B77695"/>
    <w:rsid w:val="00B83742"/>
    <w:rsid w:val="00BF36F8"/>
    <w:rsid w:val="00BF4622"/>
    <w:rsid w:val="00C42034"/>
    <w:rsid w:val="00C82655"/>
    <w:rsid w:val="00C947CF"/>
    <w:rsid w:val="00CA5D2B"/>
    <w:rsid w:val="00CD00B1"/>
    <w:rsid w:val="00D22306"/>
    <w:rsid w:val="00D42542"/>
    <w:rsid w:val="00D8121C"/>
    <w:rsid w:val="00E021DE"/>
    <w:rsid w:val="00E07CA1"/>
    <w:rsid w:val="00E22189"/>
    <w:rsid w:val="00E74069"/>
    <w:rsid w:val="00E91CDA"/>
    <w:rsid w:val="00EA0835"/>
    <w:rsid w:val="00EB1F49"/>
    <w:rsid w:val="00EF27FB"/>
    <w:rsid w:val="00F30EDD"/>
    <w:rsid w:val="00F36B34"/>
    <w:rsid w:val="00F865B3"/>
    <w:rsid w:val="00F93AAA"/>
    <w:rsid w:val="00FB1509"/>
    <w:rsid w:val="00FF1903"/>
    <w:rsid w:val="01A676F4"/>
    <w:rsid w:val="4C600C04"/>
    <w:rsid w:val="71CA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1"/>
    <w:uiPriority w:val="0"/>
    <w:rPr>
      <w:lang w:val="ru-RU" w:eastAsia="ru-RU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7">
    <w:name w:val="Абзац списка Знак"/>
    <w:basedOn w:val="8"/>
    <w:link w:val="16"/>
    <w:locked/>
    <w:uiPriority w:val="34"/>
  </w:style>
  <w:style w:type="character" w:styleId="18">
    <w:name w:val="Placeholder Text"/>
    <w:basedOn w:val="8"/>
    <w:semiHidden/>
    <w:uiPriority w:val="99"/>
    <w:rPr>
      <w:color w:val="808080"/>
    </w:rPr>
  </w:style>
  <w:style w:type="paragraph" w:styleId="19">
    <w:name w:val="No Spacing"/>
    <w:qFormat/>
    <w:uiPriority w:val="1"/>
    <w:rPr>
      <w:rFonts w:cs="Times New Roman"/>
      <w:sz w:val="22"/>
      <w:szCs w:val="22"/>
      <w:lang w:val="en-US" w:eastAsia="en-US" w:bidi="en-US"/>
    </w:rPr>
  </w:style>
  <w:style w:type="character" w:customStyle="1" w:styleId="20">
    <w:name w:val="Unresolved Mention"/>
    <w:basedOn w:val="8"/>
    <w:unhideWhenUsed/>
    <w:uiPriority w:val="99"/>
    <w:rPr>
      <w:color w:val="605E5C"/>
      <w:shd w:val="clear" w:color="auto" w:fill="E1DFDD"/>
    </w:rPr>
  </w:style>
  <w:style w:type="character" w:customStyle="1" w:styleId="21">
    <w:name w:val="contactwithdropdown-headeremail-bc"/>
    <w:basedOn w:val="8"/>
    <w:uiPriority w:val="0"/>
  </w:style>
  <w:style w:type="character" w:customStyle="1" w:styleId="22">
    <w:name w:val="fontstyle01"/>
    <w:basedOn w:val="8"/>
    <w:uiPriority w:val="0"/>
    <w:rPr>
      <w:rFonts w:hint="default" w:ascii="AdvTTc31abc20" w:hAnsi="AdvTTc31abc20"/>
      <w:color w:val="FFFFFF"/>
      <w:sz w:val="14"/>
      <w:szCs w:val="14"/>
    </w:rPr>
  </w:style>
  <w:style w:type="character" w:customStyle="1" w:styleId="23">
    <w:name w:val="fontstyle21"/>
    <w:basedOn w:val="8"/>
    <w:uiPriority w:val="0"/>
    <w:rPr>
      <w:rFonts w:hint="default" w:ascii="AdvTT5e880a50.I" w:hAnsi="AdvTT5e880a50.I"/>
      <w:color w:val="FFFFFF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420</Words>
  <Characters>2394</Characters>
  <Lines>19</Lines>
  <Paragraphs>5</Paragraphs>
  <TotalTime>13</TotalTime>
  <ScaleCrop>false</ScaleCrop>
  <LinksUpToDate>false</LinksUpToDate>
  <CharactersWithSpaces>2809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2024-02-06T16:55:00Z</dcterms:created>
  <dc:creator>korolenko</dc:creator>
  <cp:lastModifiedBy>User</cp:lastModifiedBy>
  <dcterms:modified xsi:type="dcterms:W3CDTF">2024-02-14T18:08:11Z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B68B2A7C1D6F42AFB0912AF7D38C38BB_13</vt:lpwstr>
  </property>
</Properties>
</file>