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90446" w14:textId="1898CF6E" w:rsidR="00653035" w:rsidRDefault="004741CF" w:rsidP="00EC2C9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FD5910" w:rsidRPr="00FD5910">
        <w:rPr>
          <w:rFonts w:ascii="Times New Roman" w:hAnsi="Times New Roman" w:cs="Times New Roman"/>
          <w:b/>
          <w:bCs/>
          <w:sz w:val="24"/>
          <w:szCs w:val="24"/>
        </w:rPr>
        <w:t>пектральн</w:t>
      </w:r>
      <w:r>
        <w:rPr>
          <w:rFonts w:ascii="Times New Roman" w:hAnsi="Times New Roman" w:cs="Times New Roman"/>
          <w:b/>
          <w:bCs/>
          <w:sz w:val="24"/>
          <w:szCs w:val="24"/>
        </w:rPr>
        <w:t>ый</w:t>
      </w:r>
      <w:r w:rsidR="00FD5910" w:rsidRPr="00FD5910">
        <w:rPr>
          <w:rFonts w:ascii="Times New Roman" w:hAnsi="Times New Roman" w:cs="Times New Roman"/>
          <w:b/>
          <w:bCs/>
          <w:sz w:val="24"/>
          <w:szCs w:val="24"/>
        </w:rPr>
        <w:t xml:space="preserve"> анализ углеводородных сред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 использованием рентгеновского излучения</w:t>
      </w:r>
    </w:p>
    <w:p w14:paraId="3CF36CBC" w14:textId="7A792870" w:rsidR="00FD5910" w:rsidRDefault="00FD5910" w:rsidP="00EC2C9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Калашников В. А.</w:t>
      </w:r>
    </w:p>
    <w:p w14:paraId="15113E03" w14:textId="102022B0" w:rsidR="00FD5910" w:rsidRPr="00FD5910" w:rsidRDefault="00FD5910" w:rsidP="00EC2C9C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D5910">
        <w:rPr>
          <w:rFonts w:ascii="Times New Roman" w:hAnsi="Times New Roman" w:cs="Times New Roman"/>
          <w:i/>
          <w:iCs/>
          <w:sz w:val="24"/>
          <w:szCs w:val="24"/>
        </w:rPr>
        <w:t xml:space="preserve">студент, </w:t>
      </w:r>
    </w:p>
    <w:p w14:paraId="4A1C8945" w14:textId="573A57C7" w:rsidR="00FD5910" w:rsidRPr="00FD5910" w:rsidRDefault="00FD5910" w:rsidP="00EC2C9C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D5910">
        <w:rPr>
          <w:rFonts w:ascii="Times New Roman" w:hAnsi="Times New Roman" w:cs="Times New Roman"/>
          <w:i/>
          <w:iCs/>
          <w:sz w:val="24"/>
          <w:szCs w:val="24"/>
        </w:rPr>
        <w:t>Санкт-Петербургский Политехнический Университет Петра Великого, институт электроники и телекоммуникаций, Санкт-Петербург, Россия</w:t>
      </w:r>
    </w:p>
    <w:p w14:paraId="744658F6" w14:textId="5001B5A0" w:rsidR="00FD5910" w:rsidRPr="00B53F86" w:rsidRDefault="00FD5910" w:rsidP="00EC2C9C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D5910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B53F86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FD5910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B53F86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="004741CF">
        <w:rPr>
          <w:rFonts w:ascii="Times New Roman" w:hAnsi="Times New Roman" w:cs="Times New Roman"/>
          <w:i/>
          <w:iCs/>
          <w:sz w:val="24"/>
          <w:szCs w:val="24"/>
          <w:lang w:val="en-US"/>
        </w:rPr>
        <w:t>kalashnikov</w:t>
      </w:r>
      <w:proofErr w:type="spellEnd"/>
      <w:r w:rsidR="004741CF" w:rsidRPr="00B53F86">
        <w:rPr>
          <w:rFonts w:ascii="Times New Roman" w:hAnsi="Times New Roman" w:cs="Times New Roman"/>
          <w:i/>
          <w:iCs/>
          <w:sz w:val="24"/>
          <w:szCs w:val="24"/>
        </w:rPr>
        <w:t>.126@</w:t>
      </w:r>
      <w:r w:rsidR="004741CF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="004741CF" w:rsidRPr="00B53F86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="004741CF"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  <w:proofErr w:type="spellEnd"/>
    </w:p>
    <w:p w14:paraId="65143D6D" w14:textId="0ECEED67" w:rsidR="0068785E" w:rsidRPr="00675940" w:rsidRDefault="004741CF" w:rsidP="0068785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9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ухудшении качества топлива и увеличении его потребления ключевым вопросом становится разработка надежных систем контроля [1, 2]. Одним из таких методов являются спектральные анализаторы [2]. Основная задача спектрального анализа заключается в регистрации и записи спектра света, цифровом преобразовании полученного сигнала в зависимости от длины волны и последующем его анализе с помощью персонального компьютера.</w:t>
      </w:r>
      <w:r w:rsidR="00675940" w:rsidRPr="00675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Спектрометр представляет собой систему визуализации, распределяющую множество монохроматических изображений в плоскости детектора (через входную щель). Параметры щели влияют на рабочие характеристики спектрометра – оптическое разрешение, пропускная способность. Дифракционная решетка формирует спектр длин волн света и частично влияет на оптическое разрешение спектрометра. Количество штрихов влияет на величину дисперсии. Диапазон длин волн спектрометра обратно пропорционален дисперсии решетки благодаря фиксированной геометрии. Чем шире дисперсия, тем выше разрешение спектрометра.</w:t>
      </w:r>
      <w:r w:rsidR="00675940" w:rsidRPr="00675940">
        <w:t xml:space="preserve"> </w:t>
      </w:r>
    </w:p>
    <w:p w14:paraId="55D6AAA6" w14:textId="77777777" w:rsidR="00675940" w:rsidRDefault="00675940" w:rsidP="006759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 рис. 1 представлена структурная схема рентгенооптическая анализатора и ход рентгеновских лучей. Первичное излучение (3) возбуждает в исследуемом образце (1) флуоресцентное излучение, которое через окно (2) измерительно камеры и через входную щель (7) попадает на фокусирующий кристалл-анализатор (6), выделяющий из спектра образца характеристическую линию, соответствующую условиям отражения по закону Вульфа-Брэгга:</w:t>
      </w:r>
    </w:p>
    <w:p w14:paraId="275D891C" w14:textId="6798E50D" w:rsidR="00675940" w:rsidRPr="00675940" w:rsidRDefault="00675940" w:rsidP="00675940">
      <w:pPr>
        <w:spacing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nλ=2ⅆ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α</m:t>
            </m:r>
          </m:e>
        </m:fun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(1)</w:t>
      </w:r>
    </w:p>
    <w:p w14:paraId="4A61B2BD" w14:textId="77777777" w:rsidR="00675940" w:rsidRDefault="00675940" w:rsidP="00675940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86C9C">
        <w:rPr>
          <w:rFonts w:ascii="Times New Roman" w:eastAsiaTheme="minorEastAsia" w:hAnsi="Times New Roman" w:cs="Times New Roman"/>
          <w:sz w:val="24"/>
          <w:szCs w:val="24"/>
        </w:rPr>
        <w:t xml:space="preserve">где </w:t>
      </w:r>
      <m:oMath>
        <m:r>
          <w:rPr>
            <w:rFonts w:ascii="Cambria Math" w:hAnsi="Cambria Math" w:cs="Times New Roman"/>
            <w:sz w:val="24"/>
            <w:szCs w:val="24"/>
          </w:rPr>
          <m:t>n</m:t>
        </m:r>
      </m:oMath>
      <w:r w:rsidRPr="00586C9C">
        <w:rPr>
          <w:rFonts w:ascii="Times New Roman" w:eastAsiaTheme="minorEastAsia" w:hAnsi="Times New Roman" w:cs="Times New Roman"/>
          <w:sz w:val="24"/>
          <w:szCs w:val="24"/>
        </w:rPr>
        <w:t xml:space="preserve"> – порядок отражения (</w:t>
      </w:r>
      <m:oMath>
        <m:r>
          <w:rPr>
            <w:rFonts w:ascii="Cambria Math" w:hAnsi="Cambria Math" w:cs="Times New Roman"/>
            <w:sz w:val="24"/>
            <w:szCs w:val="24"/>
          </w:rPr>
          <m:t>n=1, 2, …</m:t>
        </m:r>
      </m:oMath>
      <w:r w:rsidRPr="00586C9C">
        <w:rPr>
          <w:rFonts w:ascii="Times New Roman" w:eastAsiaTheme="minorEastAsia" w:hAnsi="Times New Roman" w:cs="Times New Roman"/>
          <w:sz w:val="24"/>
          <w:szCs w:val="24"/>
        </w:rPr>
        <w:t xml:space="preserve">), </w:t>
      </w:r>
      <m:oMath>
        <m:r>
          <w:rPr>
            <w:rFonts w:ascii="Cambria Math" w:hAnsi="Cambria Math" w:cs="Times New Roman"/>
            <w:sz w:val="24"/>
            <w:szCs w:val="24"/>
          </w:rPr>
          <m:t>λ</m:t>
        </m:r>
      </m:oMath>
      <w:r w:rsidRPr="00586C9C">
        <w:rPr>
          <w:rFonts w:ascii="Times New Roman" w:eastAsiaTheme="minorEastAsia" w:hAnsi="Times New Roman" w:cs="Times New Roman"/>
          <w:sz w:val="24"/>
          <w:szCs w:val="24"/>
        </w:rPr>
        <w:t xml:space="preserve"> – длина волны падающего излучения, </w:t>
      </w:r>
      <w:r w:rsidRPr="00586C9C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d</w:t>
      </w:r>
      <w:r w:rsidRPr="00586C9C">
        <w:rPr>
          <w:rFonts w:ascii="Times New Roman" w:eastAsiaTheme="minorEastAsia" w:hAnsi="Times New Roman" w:cs="Times New Roman"/>
          <w:sz w:val="24"/>
          <w:szCs w:val="24"/>
        </w:rPr>
        <w:t xml:space="preserve"> – межплоскостное расстояние кристалл-анализатора, </w:t>
      </w:r>
      <m:oMath>
        <m:r>
          <w:rPr>
            <w:rFonts w:ascii="Cambria Math" w:hAnsi="Cambria Math" w:cs="Times New Roman"/>
            <w:sz w:val="24"/>
            <w:szCs w:val="24"/>
          </w:rPr>
          <m:t>α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– угол падения излучения на кристалл.</w:t>
      </w:r>
    </w:p>
    <w:p w14:paraId="2112E603" w14:textId="77777777" w:rsidR="00675940" w:rsidRPr="00ED557E" w:rsidRDefault="00675940" w:rsidP="00675940">
      <w:pPr>
        <w:spacing w:line="240" w:lineRule="auto"/>
        <w:jc w:val="center"/>
        <w:rPr>
          <w:noProof/>
        </w:rPr>
      </w:pPr>
      <w:r w:rsidRPr="00ED557E">
        <w:rPr>
          <w:noProof/>
          <w:lang w:val="en-US"/>
        </w:rPr>
        <w:drawing>
          <wp:inline distT="0" distB="0" distL="0" distR="0" wp14:anchorId="29544613" wp14:editId="72D8EA8A">
            <wp:extent cx="2847825" cy="2336800"/>
            <wp:effectExtent l="0" t="0" r="0" b="6350"/>
            <wp:docPr id="4" name="Рисунок 4" descr="Изображение выглядит как зарисовка, рисунок, диаграмма, круг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зарисовка, рисунок, диаграмма, круг&#10;&#10;Автоматически созданное описание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798" cy="2348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EC366" w14:textId="77777777" w:rsidR="00675940" w:rsidRPr="00ED557E" w:rsidRDefault="00675940" w:rsidP="00675940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36881">
        <w:rPr>
          <w:rFonts w:ascii="Times New Roman" w:hAnsi="Times New Roman" w:cs="Times New Roman"/>
          <w:i/>
          <w:iCs/>
          <w:sz w:val="24"/>
          <w:szCs w:val="24"/>
        </w:rPr>
        <w:t>Рисунок 1.</w:t>
      </w:r>
      <w:r>
        <w:rPr>
          <w:rFonts w:ascii="Times New Roman" w:hAnsi="Times New Roman" w:cs="Times New Roman"/>
          <w:sz w:val="24"/>
          <w:szCs w:val="24"/>
        </w:rPr>
        <w:t xml:space="preserve"> Структурная схема анализатора: 1 – исследуемый образец, 2 – входное окно, 3 – рентгеновская трубка, 4 – приемная (выходная) щель, 5 – блок детектирования, 6 – кристалл-анализатор, 7 – входная щель, 8- регулировочная площадка</w:t>
      </w:r>
    </w:p>
    <w:p w14:paraId="0A064F11" w14:textId="77777777" w:rsidR="00675940" w:rsidRDefault="00675940" w:rsidP="00675940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86C9C">
        <w:rPr>
          <w:rFonts w:ascii="Times New Roman" w:hAnsi="Times New Roman" w:cs="Times New Roman"/>
          <w:iCs/>
          <w:sz w:val="24"/>
          <w:szCs w:val="24"/>
        </w:rPr>
        <w:lastRenderedPageBreak/>
        <w:t>Выделенное излучение кристалл-анализатора (6) фокусирует в приемную щель (4) блока детектирования (5), сигнал с которого поступает на вход усилителя-дискриминатора,</w:t>
      </w:r>
      <w:r w:rsidRPr="00C3688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86C9C">
        <w:rPr>
          <w:rFonts w:ascii="Times New Roman" w:hAnsi="Times New Roman" w:cs="Times New Roman"/>
          <w:iCs/>
          <w:sz w:val="24"/>
          <w:szCs w:val="24"/>
        </w:rPr>
        <w:t>детектирования (5), сигнал с которого поступает на вход усилителя-дискриминатора, затем на вход счётного устройства.</w:t>
      </w:r>
      <w:r>
        <w:rPr>
          <w:rFonts w:ascii="Times New Roman" w:hAnsi="Times New Roman" w:cs="Times New Roman"/>
          <w:iCs/>
          <w:sz w:val="24"/>
          <w:szCs w:val="24"/>
        </w:rPr>
        <w:t xml:space="preserve">  </w:t>
      </w:r>
    </w:p>
    <w:p w14:paraId="5B89F05B" w14:textId="32A89FC6" w:rsidR="00675940" w:rsidRPr="00675940" w:rsidRDefault="00675940" w:rsidP="00675940">
      <w:pPr>
        <w:spacing w:line="240" w:lineRule="auto"/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учитывать тот факт, что бывают случаи, когда происходит смешивание разных углеводородов и необходима достоверная фиксация таких нарушений. Для реализации этого была внедрена доработанная юстировочная площадка, которая механическим способом способна регулировать поворот кристалл-анализатора для анализа вещества.</w:t>
      </w:r>
    </w:p>
    <w:p w14:paraId="2810AE19" w14:textId="2B26EB9D" w:rsidR="00975B6F" w:rsidRPr="00975B6F" w:rsidRDefault="00975B6F" w:rsidP="0022397A">
      <w:pPr>
        <w:shd w:val="clear" w:color="auto" w:fill="FDFDFD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рисунке </w:t>
      </w:r>
      <w:r w:rsidR="0067594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75B6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представлены результаты исследования спектров двух бензинов</w:t>
      </w:r>
      <w:r w:rsidR="00B53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(АИ-92 и АИ-95) </w:t>
      </w:r>
      <w:r w:rsidRPr="00975B6F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их смесей</w:t>
      </w:r>
      <w:r w:rsidR="00223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и после внесенных изменений</w:t>
      </w:r>
      <w:r w:rsidRPr="00975B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23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Такими методами можно идентифицировать наличие возможных примесей и повысить качество исследования топлива.</w:t>
      </w:r>
    </w:p>
    <w:p w14:paraId="476130CE" w14:textId="77777777" w:rsidR="00975B6F" w:rsidRPr="00975B6F" w:rsidRDefault="00975B6F" w:rsidP="00975B6F">
      <w:pPr>
        <w:jc w:val="center"/>
        <w:rPr>
          <w:rFonts w:eastAsia="Calibri"/>
          <w:noProof/>
          <w:sz w:val="24"/>
          <w:szCs w:val="24"/>
        </w:rPr>
      </w:pPr>
    </w:p>
    <w:p w14:paraId="02A20834" w14:textId="4B600E2C" w:rsidR="00975B6F" w:rsidRDefault="00975B6F" w:rsidP="00975B6F">
      <w:pPr>
        <w:keepNext/>
        <w:jc w:val="center"/>
      </w:pPr>
      <w:r w:rsidRPr="00800467">
        <w:rPr>
          <w:rFonts w:eastAsia="Calibri"/>
          <w:noProof/>
          <w:sz w:val="24"/>
          <w:szCs w:val="24"/>
          <w:lang w:val="en-US"/>
        </w:rPr>
        <w:drawing>
          <wp:inline distT="0" distB="0" distL="0" distR="0" wp14:anchorId="58E8CEDC" wp14:editId="3FC99E6E">
            <wp:extent cx="2839269" cy="2565400"/>
            <wp:effectExtent l="0" t="0" r="0" b="6350"/>
            <wp:docPr id="309111227" name="Рисунок 1" descr="Изображение выглядит как текст, снимок экрана, диаграмма, Графи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111227" name="Рисунок 1" descr="Изображение выглядит как текст, снимок экрана, диаграмма, График&#10;&#10;Автоматически созданное описание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3403" cy="2641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785E" w:rsidRPr="001C2CBF">
        <w:rPr>
          <w:noProof/>
          <w:sz w:val="24"/>
          <w:szCs w:val="24"/>
        </w:rPr>
        <w:drawing>
          <wp:inline distT="0" distB="0" distL="0" distR="0" wp14:anchorId="3F0C9DED" wp14:editId="23A645AC">
            <wp:extent cx="3087190" cy="2574925"/>
            <wp:effectExtent l="0" t="0" r="0" b="0"/>
            <wp:docPr id="1914972139" name="Рисунок 1" descr="Изображение выглядит как текст, снимок экрана, диаграмма, Графи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127256" name="Рисунок 1" descr="Изображение выглядит как текст, снимок экрана, диаграмма, График&#10;&#10;Автоматически созданное описание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0955" cy="262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EB125" w14:textId="56239BE3" w:rsidR="00C36881" w:rsidRPr="0068785E" w:rsidRDefault="00975B6F" w:rsidP="0068785E">
      <w:pPr>
        <w:pStyle w:val="a4"/>
        <w:jc w:val="center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0216EC">
        <w:rPr>
          <w:rFonts w:ascii="Times New Roman" w:hAnsi="Times New Roman" w:cs="Times New Roman"/>
          <w:color w:val="auto"/>
          <w:sz w:val="24"/>
          <w:szCs w:val="24"/>
        </w:rPr>
        <w:t>Рис</w:t>
      </w:r>
      <w:r w:rsidR="000216EC" w:rsidRPr="000216EC">
        <w:rPr>
          <w:rFonts w:ascii="Times New Roman" w:hAnsi="Times New Roman" w:cs="Times New Roman"/>
          <w:color w:val="auto"/>
          <w:sz w:val="24"/>
          <w:szCs w:val="24"/>
        </w:rPr>
        <w:t>унок</w:t>
      </w:r>
      <w:r w:rsidRPr="000216E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216EC" w:rsidRPr="000216EC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0216EC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975B6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График</w:t>
      </w:r>
      <w:r w:rsidR="0068785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и</w:t>
      </w:r>
      <w:r w:rsidRPr="00975B6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="0068785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интенсивности серы в образцах</w:t>
      </w:r>
      <w:r w:rsidRPr="00975B6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.</w:t>
      </w:r>
    </w:p>
    <w:p w14:paraId="75DAE5E0" w14:textId="0D53C768" w:rsidR="00586C9C" w:rsidRPr="00586C9C" w:rsidRDefault="00586C9C" w:rsidP="00586C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6C9C">
        <w:rPr>
          <w:rFonts w:ascii="Times New Roman" w:hAnsi="Times New Roman" w:cs="Times New Roman"/>
          <w:b/>
          <w:bCs/>
          <w:sz w:val="24"/>
          <w:szCs w:val="24"/>
        </w:rPr>
        <w:t xml:space="preserve">Литература </w:t>
      </w:r>
    </w:p>
    <w:p w14:paraId="4CF2A4BE" w14:textId="595925F1" w:rsidR="000D3105" w:rsidRPr="00675940" w:rsidRDefault="00000000" w:rsidP="00123503">
      <w:pPr>
        <w:pStyle w:val="a5"/>
        <w:widowControl w:val="0"/>
        <w:numPr>
          <w:ilvl w:val="0"/>
          <w:numId w:val="2"/>
        </w:numPr>
        <w:tabs>
          <w:tab w:val="num" w:pos="0"/>
          <w:tab w:val="left" w:pos="993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pacing w:val="4"/>
          <w:sz w:val="24"/>
          <w:szCs w:val="24"/>
          <w:lang w:val="en-US"/>
        </w:rPr>
      </w:pPr>
      <w:hyperlink r:id="rId8" w:history="1">
        <w:r w:rsidR="000D3105" w:rsidRPr="00675940">
          <w:rPr>
            <w:rStyle w:val="typography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Kashaev</w:t>
        </w:r>
        <w:r w:rsidR="000D3105" w:rsidRPr="00675940">
          <w:rPr>
            <w:rStyle w:val="typography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r w:rsidR="000D3105" w:rsidRPr="00675940">
          <w:rPr>
            <w:rStyle w:val="typography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R</w:t>
        </w:r>
        <w:r w:rsidR="000D3105" w:rsidRPr="00675940">
          <w:rPr>
            <w:rStyle w:val="typography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.</w:t>
        </w:r>
        <w:r w:rsidR="000D3105" w:rsidRPr="00675940">
          <w:rPr>
            <w:rStyle w:val="typography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S</w:t>
        </w:r>
        <w:r w:rsidR="000D3105" w:rsidRPr="00675940">
          <w:rPr>
            <w:rStyle w:val="typography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.</w:t>
        </w:r>
      </w:hyperlink>
      <w:r w:rsidR="000D3105" w:rsidRPr="0067594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D3105" w:rsidRPr="0067594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hyperlink r:id="rId9" w:history="1">
        <w:r w:rsidR="000D3105" w:rsidRPr="00675940">
          <w:rPr>
            <w:rStyle w:val="typography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Kien</w:t>
        </w:r>
        <w:r w:rsidR="000D3105" w:rsidRPr="00675940">
          <w:rPr>
            <w:rStyle w:val="typography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r w:rsidR="000D3105" w:rsidRPr="00675940">
          <w:rPr>
            <w:rStyle w:val="typography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N</w:t>
        </w:r>
        <w:r w:rsidR="000D3105" w:rsidRPr="00675940">
          <w:rPr>
            <w:rStyle w:val="typography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.</w:t>
        </w:r>
        <w:r w:rsidR="000D3105" w:rsidRPr="00675940">
          <w:rPr>
            <w:rStyle w:val="typography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C</w:t>
        </w:r>
        <w:r w:rsidR="000D3105" w:rsidRPr="00675940">
          <w:rPr>
            <w:rStyle w:val="typography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.</w:t>
        </w:r>
      </w:hyperlink>
      <w:r w:rsidR="000D3105" w:rsidRPr="0067594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D3105" w:rsidRPr="0067594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hyperlink r:id="rId10" w:history="1">
        <w:r w:rsidR="000D3105" w:rsidRPr="00675940">
          <w:rPr>
            <w:rStyle w:val="typography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Tung</w:t>
        </w:r>
        <w:r w:rsidR="000D3105" w:rsidRPr="00675940">
          <w:rPr>
            <w:rStyle w:val="typography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r w:rsidR="000D3105" w:rsidRPr="00675940">
          <w:rPr>
            <w:rStyle w:val="typography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T</w:t>
        </w:r>
        <w:r w:rsidR="000D3105" w:rsidRPr="00675940">
          <w:rPr>
            <w:rStyle w:val="typography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.</w:t>
        </w:r>
        <w:r w:rsidR="000D3105" w:rsidRPr="00675940">
          <w:rPr>
            <w:rStyle w:val="typography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V</w:t>
        </w:r>
        <w:r w:rsidR="000D3105" w:rsidRPr="00675940">
          <w:rPr>
            <w:rStyle w:val="typography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.</w:t>
        </w:r>
      </w:hyperlink>
      <w:r w:rsidR="000D3105" w:rsidRPr="0067594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D3105" w:rsidRPr="0067594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hyperlink r:id="rId11" w:history="1">
        <w:r w:rsidR="000D3105" w:rsidRPr="00675940">
          <w:rPr>
            <w:rStyle w:val="typography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Kozelkov</w:t>
        </w:r>
        <w:r w:rsidR="000D3105" w:rsidRPr="00675940">
          <w:rPr>
            <w:rStyle w:val="typography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r w:rsidR="000D3105" w:rsidRPr="00675940">
          <w:rPr>
            <w:rStyle w:val="typography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O</w:t>
        </w:r>
        <w:r w:rsidR="000D3105" w:rsidRPr="00675940">
          <w:rPr>
            <w:rStyle w:val="typography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.</w:t>
        </w:r>
        <w:r w:rsidR="000D3105" w:rsidRPr="00675940">
          <w:rPr>
            <w:rStyle w:val="typography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V</w:t>
        </w:r>
        <w:r w:rsidR="000D3105" w:rsidRPr="00675940">
          <w:rPr>
            <w:rStyle w:val="typography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.</w:t>
        </w:r>
      </w:hyperlink>
      <w:r w:rsidR="000D3105" w:rsidRPr="006759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23503" w:rsidRPr="006759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Fast Proton Magnetic Resonance Relaxometry Methods for Determining Viscosity and Concentration of Asphaltenes in Crude Oils </w:t>
      </w:r>
      <w:hyperlink r:id="rId12" w:history="1">
        <w:r w:rsidR="00123503" w:rsidRPr="00675940">
          <w:rPr>
            <w:rStyle w:val="a6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  <w:shd w:val="clear" w:color="auto" w:fill="FFFFFF"/>
            <w:lang w:val="en-US"/>
          </w:rPr>
          <w:t>Journal of Applied Spectroscopy</w:t>
        </w:r>
      </w:hyperlink>
      <w:r w:rsidR="000D3105" w:rsidRPr="0067594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="000D3105" w:rsidRPr="00675940">
        <w:rPr>
          <w:rStyle w:val="text-meta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2019, vol. 86(5), pp. 890–895.</w:t>
      </w:r>
      <w:r w:rsidR="000D3105" w:rsidRPr="006759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https://doi.</w:t>
      </w:r>
      <w:r w:rsidR="000D3105" w:rsidRPr="0067594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10.1007/s10812-019-00911-4.</w:t>
      </w:r>
    </w:p>
    <w:p w14:paraId="7F37F5B9" w14:textId="0ABA20E9" w:rsidR="00586C9C" w:rsidRPr="00675940" w:rsidRDefault="000D3105" w:rsidP="00586C9C">
      <w:pPr>
        <w:pStyle w:val="a5"/>
        <w:widowControl w:val="0"/>
        <w:numPr>
          <w:ilvl w:val="0"/>
          <w:numId w:val="2"/>
        </w:numPr>
        <w:tabs>
          <w:tab w:val="num" w:pos="0"/>
          <w:tab w:val="left" w:pos="993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pacing w:val="4"/>
          <w:sz w:val="24"/>
          <w:szCs w:val="24"/>
          <w:lang w:val="en-US"/>
        </w:rPr>
      </w:pPr>
      <w:r w:rsidRPr="00675940">
        <w:rPr>
          <w:rFonts w:ascii="Times New Roman" w:eastAsia="SimSun" w:hAnsi="Times New Roman" w:cs="Times New Roman"/>
          <w:noProof/>
          <w:sz w:val="24"/>
          <w:szCs w:val="24"/>
          <w:shd w:val="clear" w:color="auto" w:fill="FFFFFF"/>
          <w:lang w:val="en-US" w:eastAsia="zh-CN"/>
        </w:rPr>
        <w:t>Bocian, P.; Biernat, K.; Matuszewska, A.; Bukrejewski, P.; Noworyta, K.R.</w:t>
      </w:r>
      <w:r w:rsidRPr="00675940">
        <w:rPr>
          <w:rFonts w:ascii="Times New Roman" w:eastAsia="SimSun" w:hAnsi="Times New Roman" w:cs="Times New Roman"/>
          <w:noProof/>
          <w:sz w:val="24"/>
          <w:szCs w:val="24"/>
          <w:lang w:val="en-US" w:eastAsia="zh-CN"/>
        </w:rPr>
        <w:t xml:space="preserve"> </w:t>
      </w:r>
      <w:r w:rsidRPr="00675940">
        <w:rPr>
          <w:rFonts w:ascii="Times New Roman" w:eastAsia="SimSun" w:hAnsi="Times New Roman" w:cs="Times New Roman"/>
          <w:noProof/>
          <w:sz w:val="24"/>
          <w:szCs w:val="24"/>
          <w:shd w:val="clear" w:color="auto" w:fill="FFFFFF"/>
          <w:lang w:val="en-US" w:eastAsia="zh-CN"/>
        </w:rPr>
        <w:t>Electrochemical impedance spectroscopy studies of gasoline oxidative stability – Attempt to devise new gasolines chemical stability index</w:t>
      </w:r>
      <w:r w:rsidRPr="00675940">
        <w:rPr>
          <w:rFonts w:ascii="Times New Roman" w:eastAsia="SimSun" w:hAnsi="Times New Roman" w:cs="Times New Roman"/>
          <w:noProof/>
          <w:sz w:val="24"/>
          <w:szCs w:val="24"/>
          <w:lang w:val="en-US" w:eastAsia="zh-CN"/>
        </w:rPr>
        <w:t xml:space="preserve">. </w:t>
      </w:r>
      <w:r w:rsidRPr="00675940">
        <w:rPr>
          <w:rFonts w:ascii="Times New Roman" w:eastAsia="SimSun" w:hAnsi="Times New Roman" w:cs="Times New Roman"/>
          <w:i/>
          <w:iCs/>
          <w:noProof/>
          <w:sz w:val="24"/>
          <w:szCs w:val="24"/>
          <w:shd w:val="clear" w:color="auto" w:fill="FFFFFF"/>
          <w:lang w:val="en-US" w:eastAsia="zh-CN"/>
        </w:rPr>
        <w:t>Fuel</w:t>
      </w:r>
      <w:r w:rsidRPr="00675940">
        <w:rPr>
          <w:rFonts w:ascii="Times New Roman" w:eastAsia="SimSun" w:hAnsi="Times New Roman" w:cs="Times New Roman"/>
          <w:noProof/>
          <w:sz w:val="24"/>
          <w:szCs w:val="24"/>
          <w:lang w:val="en-US" w:eastAsia="zh-CN"/>
        </w:rPr>
        <w:t xml:space="preserve"> </w:t>
      </w:r>
      <w:r w:rsidRPr="00675940">
        <w:rPr>
          <w:rFonts w:ascii="Times New Roman" w:eastAsia="SimSun" w:hAnsi="Times New Roman" w:cs="Times New Roman"/>
          <w:b/>
          <w:bCs/>
          <w:noProof/>
          <w:sz w:val="24"/>
          <w:szCs w:val="24"/>
          <w:lang w:val="en-US" w:eastAsia="zh-CN"/>
        </w:rPr>
        <w:t>2021</w:t>
      </w:r>
      <w:r w:rsidRPr="00675940">
        <w:rPr>
          <w:rFonts w:ascii="Times New Roman" w:eastAsia="SimSun" w:hAnsi="Times New Roman" w:cs="Times New Roman"/>
          <w:noProof/>
          <w:sz w:val="24"/>
          <w:szCs w:val="24"/>
          <w:lang w:val="en-US" w:eastAsia="zh-CN"/>
        </w:rPr>
        <w:t xml:space="preserve">, </w:t>
      </w:r>
      <w:r w:rsidRPr="0067594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288</w:t>
      </w:r>
      <w:r w:rsidRPr="0067594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119620. https://doi.org/10.1016/j.fuel.2020.119620</w:t>
      </w:r>
    </w:p>
    <w:sectPr w:rsidR="00586C9C" w:rsidRPr="00675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3715E"/>
    <w:multiLevelType w:val="hybridMultilevel"/>
    <w:tmpl w:val="D5941A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B468F5"/>
    <w:multiLevelType w:val="hybridMultilevel"/>
    <w:tmpl w:val="F7E250A8"/>
    <w:lvl w:ilvl="0" w:tplc="77DEFA2C">
      <w:start w:val="1"/>
      <w:numFmt w:val="decimal"/>
      <w:pStyle w:val="MDPI71References"/>
      <w:lvlText w:val="%1."/>
      <w:lvlJc w:val="left"/>
      <w:pPr>
        <w:ind w:left="425" w:hanging="425"/>
      </w:pPr>
    </w:lvl>
    <w:lvl w:ilvl="1" w:tplc="1736DBD0" w:tentative="1">
      <w:start w:val="1"/>
      <w:numFmt w:val="lowerLetter"/>
      <w:lvlText w:val="%2."/>
      <w:lvlJc w:val="left"/>
      <w:pPr>
        <w:ind w:left="1440" w:hanging="360"/>
      </w:pPr>
    </w:lvl>
    <w:lvl w:ilvl="2" w:tplc="4600FEE8" w:tentative="1">
      <w:start w:val="1"/>
      <w:numFmt w:val="lowerRoman"/>
      <w:lvlText w:val="%3."/>
      <w:lvlJc w:val="right"/>
      <w:pPr>
        <w:ind w:left="2160" w:hanging="180"/>
      </w:pPr>
    </w:lvl>
    <w:lvl w:ilvl="3" w:tplc="BEDEF5A6" w:tentative="1">
      <w:start w:val="1"/>
      <w:numFmt w:val="decimal"/>
      <w:lvlText w:val="%4."/>
      <w:lvlJc w:val="left"/>
      <w:pPr>
        <w:ind w:left="2880" w:hanging="360"/>
      </w:pPr>
    </w:lvl>
    <w:lvl w:ilvl="4" w:tplc="9D3C8C40" w:tentative="1">
      <w:start w:val="1"/>
      <w:numFmt w:val="lowerLetter"/>
      <w:lvlText w:val="%5."/>
      <w:lvlJc w:val="left"/>
      <w:pPr>
        <w:ind w:left="3600" w:hanging="360"/>
      </w:pPr>
    </w:lvl>
    <w:lvl w:ilvl="5" w:tplc="DB7CD11A" w:tentative="1">
      <w:start w:val="1"/>
      <w:numFmt w:val="lowerRoman"/>
      <w:lvlText w:val="%6."/>
      <w:lvlJc w:val="right"/>
      <w:pPr>
        <w:ind w:left="4320" w:hanging="180"/>
      </w:pPr>
    </w:lvl>
    <w:lvl w:ilvl="6" w:tplc="49C0C540" w:tentative="1">
      <w:start w:val="1"/>
      <w:numFmt w:val="decimal"/>
      <w:lvlText w:val="%7."/>
      <w:lvlJc w:val="left"/>
      <w:pPr>
        <w:ind w:left="5040" w:hanging="360"/>
      </w:pPr>
    </w:lvl>
    <w:lvl w:ilvl="7" w:tplc="B7E44626" w:tentative="1">
      <w:start w:val="1"/>
      <w:numFmt w:val="lowerLetter"/>
      <w:lvlText w:val="%8."/>
      <w:lvlJc w:val="left"/>
      <w:pPr>
        <w:ind w:left="5760" w:hanging="360"/>
      </w:pPr>
    </w:lvl>
    <w:lvl w:ilvl="8" w:tplc="83409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A245F"/>
    <w:multiLevelType w:val="hybridMultilevel"/>
    <w:tmpl w:val="83003D34"/>
    <w:lvl w:ilvl="0" w:tplc="81BA627A">
      <w:start w:val="1"/>
      <w:numFmt w:val="decimal"/>
      <w:lvlText w:val="%1."/>
      <w:lvlJc w:val="left"/>
      <w:pPr>
        <w:ind w:left="780" w:hanging="420"/>
      </w:pPr>
      <w:rPr>
        <w:rFonts w:hint="default"/>
        <w:i w:val="0"/>
        <w:iCs w:val="0"/>
      </w:rPr>
    </w:lvl>
    <w:lvl w:ilvl="1" w:tplc="9864C4C6" w:tentative="1">
      <w:start w:val="1"/>
      <w:numFmt w:val="lowerLetter"/>
      <w:lvlText w:val="%2."/>
      <w:lvlJc w:val="left"/>
      <w:pPr>
        <w:ind w:left="1440" w:hanging="360"/>
      </w:pPr>
    </w:lvl>
    <w:lvl w:ilvl="2" w:tplc="9ACCF128" w:tentative="1">
      <w:start w:val="1"/>
      <w:numFmt w:val="lowerRoman"/>
      <w:lvlText w:val="%3."/>
      <w:lvlJc w:val="right"/>
      <w:pPr>
        <w:ind w:left="2160" w:hanging="180"/>
      </w:pPr>
    </w:lvl>
    <w:lvl w:ilvl="3" w:tplc="564285AC" w:tentative="1">
      <w:start w:val="1"/>
      <w:numFmt w:val="decimal"/>
      <w:lvlText w:val="%4."/>
      <w:lvlJc w:val="left"/>
      <w:pPr>
        <w:ind w:left="2880" w:hanging="360"/>
      </w:pPr>
    </w:lvl>
    <w:lvl w:ilvl="4" w:tplc="A4106A20" w:tentative="1">
      <w:start w:val="1"/>
      <w:numFmt w:val="lowerLetter"/>
      <w:lvlText w:val="%5."/>
      <w:lvlJc w:val="left"/>
      <w:pPr>
        <w:ind w:left="3600" w:hanging="360"/>
      </w:pPr>
    </w:lvl>
    <w:lvl w:ilvl="5" w:tplc="C7B4E926" w:tentative="1">
      <w:start w:val="1"/>
      <w:numFmt w:val="lowerRoman"/>
      <w:lvlText w:val="%6."/>
      <w:lvlJc w:val="right"/>
      <w:pPr>
        <w:ind w:left="4320" w:hanging="180"/>
      </w:pPr>
    </w:lvl>
    <w:lvl w:ilvl="6" w:tplc="08ACFDF8" w:tentative="1">
      <w:start w:val="1"/>
      <w:numFmt w:val="decimal"/>
      <w:lvlText w:val="%7."/>
      <w:lvlJc w:val="left"/>
      <w:pPr>
        <w:ind w:left="5040" w:hanging="360"/>
      </w:pPr>
    </w:lvl>
    <w:lvl w:ilvl="7" w:tplc="DEC01422" w:tentative="1">
      <w:start w:val="1"/>
      <w:numFmt w:val="lowerLetter"/>
      <w:lvlText w:val="%8."/>
      <w:lvlJc w:val="left"/>
      <w:pPr>
        <w:ind w:left="5760" w:hanging="360"/>
      </w:pPr>
    </w:lvl>
    <w:lvl w:ilvl="8" w:tplc="DA8013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F2A12"/>
    <w:multiLevelType w:val="hybridMultilevel"/>
    <w:tmpl w:val="ED56A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42551">
    <w:abstractNumId w:val="3"/>
  </w:num>
  <w:num w:numId="2" w16cid:durableId="2064794919">
    <w:abstractNumId w:val="0"/>
  </w:num>
  <w:num w:numId="3" w16cid:durableId="12514244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318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035"/>
    <w:rsid w:val="000216EC"/>
    <w:rsid w:val="000D3105"/>
    <w:rsid w:val="00123503"/>
    <w:rsid w:val="0022397A"/>
    <w:rsid w:val="004741CF"/>
    <w:rsid w:val="004B6046"/>
    <w:rsid w:val="004F7C7D"/>
    <w:rsid w:val="00586C9C"/>
    <w:rsid w:val="005F385D"/>
    <w:rsid w:val="00635DFD"/>
    <w:rsid w:val="00653035"/>
    <w:rsid w:val="00675940"/>
    <w:rsid w:val="0068785E"/>
    <w:rsid w:val="00691B61"/>
    <w:rsid w:val="006B659F"/>
    <w:rsid w:val="007D434B"/>
    <w:rsid w:val="00911261"/>
    <w:rsid w:val="00975B6F"/>
    <w:rsid w:val="00993C00"/>
    <w:rsid w:val="00B53F86"/>
    <w:rsid w:val="00C36881"/>
    <w:rsid w:val="00C63A25"/>
    <w:rsid w:val="00CB0D7E"/>
    <w:rsid w:val="00CC53BB"/>
    <w:rsid w:val="00D67153"/>
    <w:rsid w:val="00DA04B2"/>
    <w:rsid w:val="00EC2C9C"/>
    <w:rsid w:val="00EC6990"/>
    <w:rsid w:val="00ED557E"/>
    <w:rsid w:val="00F40D55"/>
    <w:rsid w:val="00FD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09D8E"/>
  <w15:chartTrackingRefBased/>
  <w15:docId w15:val="{EB32A452-D142-4ADC-9C53-7CA1339FC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1235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3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caption"/>
    <w:basedOn w:val="a"/>
    <w:next w:val="a"/>
    <w:uiPriority w:val="35"/>
    <w:unhideWhenUsed/>
    <w:qFormat/>
    <w:rsid w:val="00586C9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5">
    <w:name w:val="List Paragraph"/>
    <w:basedOn w:val="a"/>
    <w:uiPriority w:val="34"/>
    <w:qFormat/>
    <w:rsid w:val="004B6046"/>
    <w:pPr>
      <w:ind w:left="720"/>
      <w:contextualSpacing/>
    </w:pPr>
  </w:style>
  <w:style w:type="character" w:customStyle="1" w:styleId="linktext">
    <w:name w:val="link__text"/>
    <w:basedOn w:val="a0"/>
    <w:rsid w:val="000D3105"/>
  </w:style>
  <w:style w:type="character" w:customStyle="1" w:styleId="text-meta">
    <w:name w:val="text-meta"/>
    <w:basedOn w:val="a0"/>
    <w:rsid w:val="000D3105"/>
  </w:style>
  <w:style w:type="character" w:customStyle="1" w:styleId="typography">
    <w:name w:val="typography"/>
    <w:basedOn w:val="a0"/>
    <w:rsid w:val="000D3105"/>
  </w:style>
  <w:style w:type="paragraph" w:customStyle="1" w:styleId="MDPI71References">
    <w:name w:val="MDPI_7.1_References"/>
    <w:qFormat/>
    <w:rsid w:val="000D3105"/>
    <w:pPr>
      <w:numPr>
        <w:numId w:val="4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character" w:customStyle="1" w:styleId="40">
    <w:name w:val="Заголовок 4 Знак"/>
    <w:basedOn w:val="a0"/>
    <w:link w:val="4"/>
    <w:uiPriority w:val="9"/>
    <w:rsid w:val="001235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23503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23503"/>
    <w:rPr>
      <w:color w:val="605E5C"/>
      <w:shd w:val="clear" w:color="auto" w:fill="E1DFDD"/>
    </w:rPr>
  </w:style>
  <w:style w:type="character" w:customStyle="1" w:styleId="ts-alignment-element">
    <w:name w:val="ts-alignment-element"/>
    <w:basedOn w:val="a0"/>
    <w:rsid w:val="00975B6F"/>
  </w:style>
  <w:style w:type="character" w:customStyle="1" w:styleId="ts-alignment-element-highlighted">
    <w:name w:val="ts-alignment-element-highlighted"/>
    <w:basedOn w:val="a0"/>
    <w:rsid w:val="00975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8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7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13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54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1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145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106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682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1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157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7794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8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1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5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1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05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59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80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365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064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761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536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219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529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9147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4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8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49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73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30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41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274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447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424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579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293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6152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8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8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0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88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802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42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2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345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994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846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39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485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142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authid/detail.uri?authorId=700331806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file:///C:\Users\vitea\Downloads\Journal%20of%20Applied%20Spectroscop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scopus.com/authid/detail.uri?authorId=57208704631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scopus.com/authid/detail.uri?authorId=572116845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opus.com/authid/detail.uri?authorId=5720870693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 Виктор Андреевич</dc:creator>
  <cp:keywords/>
  <dc:description/>
  <cp:lastModifiedBy>Калашников Виктор Андреевич</cp:lastModifiedBy>
  <cp:revision>6</cp:revision>
  <dcterms:created xsi:type="dcterms:W3CDTF">2024-02-15T19:56:00Z</dcterms:created>
  <dcterms:modified xsi:type="dcterms:W3CDTF">2024-02-16T17:56:00Z</dcterms:modified>
</cp:coreProperties>
</file>