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Обнаружение и анализ белковых соединений на основе рамановского рассеяния и машинного обучения</w:t>
      </w:r>
    </w:p>
    <w:p w:rsidR="00000000" w:rsidDel="00000000" w:rsidP="00000000" w:rsidRDefault="00000000" w:rsidRPr="00000000" w14:paraId="00000002">
      <w:pPr>
        <w:spacing w:before="1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Понкратова Е.Ю., Штумпф А.С.</w:t>
      </w:r>
    </w:p>
    <w:p w:rsidR="00000000" w:rsidDel="00000000" w:rsidP="00000000" w:rsidRDefault="00000000" w:rsidRPr="00000000" w14:paraId="00000003">
      <w:pPr>
        <w:spacing w:before="1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аспирант, студент</w:t>
      </w:r>
    </w:p>
    <w:p w:rsidR="00000000" w:rsidDel="00000000" w:rsidP="00000000" w:rsidRDefault="00000000" w:rsidRPr="00000000" w14:paraId="00000004">
      <w:pPr>
        <w:spacing w:before="1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Санкт-Петербургский национальный исследовательский университет информационных технологий, механики и оптики, Физический факультет, Санкт-Петербург, Россия</w:t>
      </w:r>
    </w:p>
    <w:p w:rsidR="00000000" w:rsidDel="00000000" w:rsidP="00000000" w:rsidRDefault="00000000" w:rsidRPr="00000000" w14:paraId="00000005">
      <w:pPr>
        <w:spacing w:before="1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ekaterina.grachkova@metalab.ifmo.ru, artem.shtumpf@metalab.ifmo.ru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.85039370078744"/>
        <w:jc w:val="both"/>
        <w:rPr/>
      </w:pPr>
      <w:r w:rsidDel="00000000" w:rsidR="00000000" w:rsidRPr="00000000">
        <w:rPr>
          <w:rtl w:val="0"/>
        </w:rPr>
        <w:t xml:space="preserve">Обнаружение различных биологических соединений является трудоемким процессом из-за сложности их межмолекулярных связей [3]. Современные методы иммуноанализа и хроматографии не всегда позволяют добиться результатов в короткие сроки и с использованием небольшого количества ресурсов [1]. Таким образом, научная задача, которую призвана решить данная работа, — это разработка быстрого и простого в использовании метода, позволяющего добиться хороших результатов для задач, связанных с обнаружением сложных биологических соединений, в частности для распознавания гормонов.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.85039370078744"/>
        <w:jc w:val="both"/>
        <w:rPr/>
      </w:pPr>
      <w:r w:rsidDel="00000000" w:rsidR="00000000" w:rsidRPr="00000000">
        <w:rPr>
          <w:rtl w:val="0"/>
        </w:rPr>
        <w:t xml:space="preserve">Используемый в работе подход включает анализ спектров комбинационного рассеяния аминокислот и более сложных белковых соединений, а также применение алгоритмов машинного обучения для прогнозирования значений концентраций и идентификации компонентов смеси.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.85039370078744"/>
        <w:jc w:val="both"/>
        <w:rPr/>
      </w:pPr>
      <w:r w:rsidDel="00000000" w:rsidR="00000000" w:rsidRPr="00000000">
        <w:rPr>
          <w:rtl w:val="0"/>
        </w:rPr>
        <w:t xml:space="preserve">Для изучения возможности анализа белковых соединений на первом этапе работы были получены спектры комбинационного рассеяния двух аминокислот (аланина и глутамина), а также их смесей в разных соотношениях. Было произведено сравнение рамановского сигнала смеси двух аминокислот с ожидаемыми спектрами, полученными путем сложения сигналов отдельных аминокислот с заданными коэффициентами. Спектры комбинационного рассеяния смесей аминокислот были обработаны с помощью алгоритма, основанного на нахождении минимума функции ошибок теоретически построенного спектра методом Лагранжа.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.85039370078744"/>
        <w:jc w:val="both"/>
        <w:rPr/>
      </w:pPr>
      <w:r w:rsidDel="00000000" w:rsidR="00000000" w:rsidRPr="00000000">
        <w:rPr>
          <w:rtl w:val="0"/>
        </w:rPr>
        <w:t xml:space="preserve">Далее методы машинного обучения были применены к различным задачам классификации и оценки возможности идентификации конкретных соединений по их рамановским спектрам: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 Двухклассовой классификации для сравнения спектров чистого аланина и глутамина, спектров смеси равных концентраций со спектрами дипептида.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Трехклассовой классификации для сравнения сигналов от аланина, глутамина и их смеси в различных концентрациях.</w:t>
      </w:r>
    </w:p>
    <w:p w:rsidR="00000000" w:rsidDel="00000000" w:rsidP="00000000" w:rsidRDefault="00000000" w:rsidRPr="00000000" w14:paraId="0000000D">
      <w:pPr>
        <w:widowControl w:val="0"/>
        <w:spacing w:after="0" w:before="0" w:line="308.5714285714286" w:lineRule="auto"/>
        <w:ind w:left="0" w:firstLine="396.85039370078744"/>
        <w:jc w:val="both"/>
        <w:rPr/>
      </w:pPr>
      <w:r w:rsidDel="00000000" w:rsidR="00000000" w:rsidRPr="00000000">
        <w:rPr>
          <w:rtl w:val="0"/>
        </w:rPr>
        <w:t xml:space="preserve">Для этих задач были применены алгоритмы KNN, Random Forest [2]. Эти методы были применены к полученным данным в сочетании с перекрестной проверкой (cross validation), используемой для поиска лучших параметров моделей. Этот подход позволил получить как точность (precision), так и полноту (recall) выше 0,96 для набора данных, содержащего 2000 спектров.</w:t>
      </w:r>
    </w:p>
    <w:p w:rsidR="00000000" w:rsidDel="00000000" w:rsidP="00000000" w:rsidRDefault="00000000" w:rsidRPr="00000000" w14:paraId="0000000E">
      <w:pPr>
        <w:widowControl w:val="0"/>
        <w:spacing w:after="0" w:before="0" w:line="308.5714285714286" w:lineRule="auto"/>
        <w:ind w:left="0" w:firstLine="396.850393700787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Результаты применения методов машинного обучения к полученным спектрам рамановского рассеяния свидетельствуют о возможности получения точных результатов при решении задачи классификации для простейших систем, состоящих из различных аминокислот. Это позволяет перейти к анализу более сложных систем, составными частями которых являются 3 и более аминокислот, что позволит анализировать сложные белковые соединения - гормоны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396.85039370078744"/>
        <w:jc w:val="both"/>
        <w:rPr/>
      </w:pPr>
      <w:r w:rsidDel="00000000" w:rsidR="00000000" w:rsidRPr="00000000">
        <w:rPr>
          <w:b w:val="1"/>
          <w:rtl w:val="0"/>
        </w:rPr>
        <w:t xml:space="preserve">Литература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54.0157480314961" w:right="0" w:hanging="396.850393700787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B. B. Hirpessa, B. H. Ulusoy, and C. Hecer, J. Food Qual. 2020, 10.1155/2020/5065386 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54.0157480314961" w:right="0" w:hanging="396.850393700787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Hands-On Machine Learning with Scikit-Learn, Keras, and TensorFlow, 2nd Edition, Aurélien Géron, O'Reilly Media, Inc., September 2019, 9781492032649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993"/>
        </w:tabs>
        <w:ind w:left="754.0157480314961" w:hanging="396.850393700787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Hunter, R., Anis, H. (2018). Genetic support vector machines as powerful tools for the analysis of biomedical Raman spectra. Journal of Raman Spectroscopy. doi:10.1002/jrs.5410.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993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.5826771653544" w:top="1133.8582677165355" w:left="1360.6299212598426" w:right="1360.629921259842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735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