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7BA20" w14:textId="513A1C39" w:rsidR="00491F7B" w:rsidRPr="00FC0644" w:rsidRDefault="005F0EB6" w:rsidP="00296FC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Э</w:t>
      </w:r>
      <w:r w:rsidR="00FC0644" w:rsidRPr="00FC0644">
        <w:rPr>
          <w:rFonts w:asciiTheme="majorBidi" w:hAnsiTheme="majorBidi" w:cstheme="majorBidi"/>
          <w:b/>
          <w:bCs/>
          <w:sz w:val="24"/>
          <w:szCs w:val="24"/>
          <w:lang w:val="ru-RU"/>
        </w:rPr>
        <w:t>кспресс-диагностик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а</w:t>
      </w:r>
      <w:r w:rsidR="00FC0644" w:rsidRPr="00FC0644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состояния здоровья человека с использованием сигналов поглощения лазерного излучения</w:t>
      </w:r>
    </w:p>
    <w:p w14:paraId="251C2615" w14:textId="4021E748" w:rsidR="00491F7B" w:rsidRPr="00FC0644" w:rsidRDefault="00CA1906" w:rsidP="00FE33A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>Екатерина Же</w:t>
      </w:r>
      <w:r w:rsidR="00FC0644"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>сткая</w:t>
      </w:r>
      <w:r w:rsidR="00FC0644">
        <w:rPr>
          <w:rFonts w:asciiTheme="majorBidi" w:hAnsiTheme="majorBidi" w:cstheme="majorBidi"/>
          <w:sz w:val="24"/>
          <w:szCs w:val="24"/>
          <w:vertAlign w:val="superscript"/>
          <w:lang w:val="ru-RU"/>
        </w:rPr>
        <w:t>1</w:t>
      </w:r>
      <w:r w:rsidR="00FC0644"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="00491F7B" w:rsidRPr="00FE33A6"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>Мсукар</w:t>
      </w:r>
      <w:proofErr w:type="spellEnd"/>
      <w:r w:rsidR="00491F7B" w:rsidRPr="00FE33A6"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 xml:space="preserve"> С</w:t>
      </w:r>
      <w:r w:rsidR="00FC0644"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>ухайр</w:t>
      </w:r>
      <w:r w:rsidR="00FC0644" w:rsidRPr="00FC0644">
        <w:rPr>
          <w:rFonts w:asciiTheme="majorBidi" w:hAnsiTheme="majorBidi" w:cstheme="majorBidi"/>
          <w:b/>
          <w:bCs/>
          <w:sz w:val="24"/>
          <w:szCs w:val="24"/>
          <w:vertAlign w:val="superscript"/>
          <w:lang w:val="ru-RU"/>
        </w:rPr>
        <w:t>2</w:t>
      </w:r>
      <w:r w:rsidR="00FC0644"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>, Давыдова Дарья</w:t>
      </w:r>
      <w:r w:rsidR="00FC0644" w:rsidRPr="00FC0644">
        <w:rPr>
          <w:rFonts w:asciiTheme="majorBidi" w:hAnsiTheme="majorBidi" w:cstheme="majorBidi"/>
          <w:b/>
          <w:bCs/>
          <w:sz w:val="24"/>
          <w:szCs w:val="24"/>
          <w:vertAlign w:val="superscript"/>
          <w:lang w:val="ru-RU"/>
        </w:rPr>
        <w:t>2</w:t>
      </w:r>
    </w:p>
    <w:p w14:paraId="43EDBFE8" w14:textId="72527D87" w:rsidR="00491F7B" w:rsidRPr="00FE33A6" w:rsidRDefault="00491F7B" w:rsidP="00FE33A6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 w:rsidRPr="00F823CA">
        <w:rPr>
          <w:rFonts w:asciiTheme="majorBidi" w:hAnsiTheme="majorBidi" w:cstheme="majorBidi"/>
          <w:i/>
          <w:iCs/>
          <w:sz w:val="24"/>
          <w:szCs w:val="24"/>
          <w:lang w:val="ru-RU"/>
        </w:rPr>
        <w:t>студент</w:t>
      </w:r>
      <w:r w:rsidR="00FC0644">
        <w:rPr>
          <w:rFonts w:asciiTheme="majorBidi" w:hAnsiTheme="majorBidi" w:cstheme="majorBidi"/>
          <w:i/>
          <w:iCs/>
          <w:sz w:val="24"/>
          <w:szCs w:val="24"/>
          <w:lang w:val="ru-RU"/>
        </w:rPr>
        <w:t>ы</w:t>
      </w:r>
    </w:p>
    <w:p w14:paraId="4C3DF760" w14:textId="7E2E0031" w:rsidR="00FC0644" w:rsidRPr="00FC0644" w:rsidRDefault="00FC0644" w:rsidP="00FE33A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0644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1</w:t>
      </w:r>
      <w:r w:rsidRPr="00FC0644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Санкт-Петербургский государственный университет телекоммуникаций им. проф. М. А. Бонч-Бруевича, Санкт-Петербург, Россия</w:t>
      </w:r>
    </w:p>
    <w:p w14:paraId="12E7FDAD" w14:textId="45CA5C0D" w:rsidR="00491F7B" w:rsidRPr="00FC0644" w:rsidRDefault="00FC0644" w:rsidP="00FE33A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0644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2</w:t>
      </w:r>
      <w:r w:rsidR="00491F7B" w:rsidRPr="00FC0644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Санкт-Петербургский политехнический университет Петра Великого, Санкт-Петербург, Россия</w:t>
      </w:r>
    </w:p>
    <w:p w14:paraId="68FB99E1" w14:textId="6AF8345F" w:rsidR="00491F7B" w:rsidRPr="00FC0644" w:rsidRDefault="00491F7B" w:rsidP="001244B2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iCs/>
          <w:sz w:val="24"/>
          <w:szCs w:val="24"/>
          <w:rtl/>
        </w:rPr>
      </w:pPr>
      <w:r w:rsidRPr="00374B5E">
        <w:rPr>
          <w:rFonts w:ascii="Times New Roman" w:hAnsi="Times New Roman" w:cs="Times New Roman"/>
          <w:i/>
          <w:iCs/>
          <w:sz w:val="24"/>
          <w:szCs w:val="24"/>
          <w:highlight w:val="yellow"/>
          <w:lang w:val="de-DE"/>
        </w:rPr>
        <w:t>E</w:t>
      </w:r>
      <w:r w:rsidRPr="00CA190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–</w:t>
      </w:r>
      <w:r w:rsidRPr="00374B5E">
        <w:rPr>
          <w:rFonts w:ascii="Times New Roman" w:hAnsi="Times New Roman" w:cs="Times New Roman"/>
          <w:i/>
          <w:iCs/>
          <w:sz w:val="24"/>
          <w:szCs w:val="24"/>
          <w:highlight w:val="yellow"/>
          <w:lang w:val="de-DE"/>
        </w:rPr>
        <w:t>mail</w:t>
      </w:r>
      <w:r w:rsidRPr="00CA190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: </w:t>
      </w:r>
      <w:r w:rsidR="00CA1906" w:rsidRPr="00CA1906">
        <w:rPr>
          <w:rFonts w:ascii="Times New Roman" w:hAnsi="Times New Roman" w:cs="Times New Roman"/>
          <w:iCs/>
          <w:sz w:val="24"/>
          <w:szCs w:val="24"/>
          <w:highlight w:val="yellow"/>
          <w:u w:val="single"/>
        </w:rPr>
        <w:t>katy.</w:t>
      </w:r>
      <w:hyperlink r:id="rId6" w:history="1">
        <w:r w:rsidR="00CA1906" w:rsidRPr="00CA1906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yellow"/>
            <w:shd w:val="clear" w:color="auto" w:fill="FFFFFF"/>
          </w:rPr>
          <w:t>zhestkay@gmail.com</w:t>
        </w:r>
      </w:hyperlink>
      <w:bookmarkStart w:id="0" w:name="_GoBack"/>
      <w:bookmarkEnd w:id="0"/>
    </w:p>
    <w:p w14:paraId="2CF0F41E" w14:textId="77777777" w:rsidR="00374B5E" w:rsidRPr="00CA1906" w:rsidRDefault="00374B5E" w:rsidP="00B2310D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bidi="ar-SY"/>
        </w:rPr>
      </w:pPr>
    </w:p>
    <w:p w14:paraId="4ACC55EC" w14:textId="55DA2602" w:rsidR="00573690" w:rsidRPr="0067201A" w:rsidRDefault="00B2310D" w:rsidP="00B2310D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Р</w:t>
      </w:r>
      <w:r w:rsidR="00FC0644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егулярная </w:t>
      </w:r>
      <w:r w:rsidR="00D51D7F" w:rsidRPr="00D51D7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экспресс-диагностика состояния здоровья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человека </w:t>
      </w:r>
      <w:r w:rsidR="00D51D7F" w:rsidRPr="00D51D7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является одним из важнейших факторов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выявления различных заболеваний на ранней стадии</w:t>
      </w:r>
      <w:r w:rsidR="00FC0644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и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своевременного их </w:t>
      </w:r>
      <w:r w:rsidR="00D51D7F" w:rsidRPr="00D51D7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лечения </w:t>
      </w:r>
      <w:r w:rsidRPr="00B2310D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[</w:t>
      </w:r>
      <w:r w:rsidR="00707241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1]</w:t>
      </w:r>
      <w:r w:rsidR="00D51D7F" w:rsidRPr="00D51D7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.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Особенно важным здесь является отслеживание состояния сердечно-сосудистой системы. Для этой цели </w:t>
      </w:r>
      <w:r w:rsidRPr="00573690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одним из наиболее распространенных методов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 w:rsid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является</w:t>
      </w:r>
      <w:r w:rsidR="00573690" w:rsidRPr="00573690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пульсоксиметрия,</w:t>
      </w:r>
      <w:r w:rsidR="00573690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 w:rsid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достоинством которой является </w:t>
      </w:r>
      <w:proofErr w:type="spellStart"/>
      <w:r w:rsid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неинвазивность</w:t>
      </w:r>
      <w:proofErr w:type="spellEnd"/>
      <w:r w:rsid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измерений</w:t>
      </w:r>
      <w:r w:rsidR="00732622" w:rsidRPr="00732622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. А также отсутствие ограничений на количество измерений при экспресс-контроле этих параметров состояния здоровья человека в течение определенного периода времени</w:t>
      </w:r>
      <w:r w:rsidR="00A77587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[2]</w:t>
      </w:r>
      <w:r w:rsid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.</w:t>
      </w:r>
    </w:p>
    <w:p w14:paraId="2E06087E" w14:textId="2E80BD88" w:rsidR="00756DCE" w:rsidRPr="00756DCE" w:rsidRDefault="00B152B6" w:rsidP="00795F83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Одним из</w:t>
      </w:r>
      <w:r w:rsidR="0067201A" w:rsidRPr="0067201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недостатко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в</w:t>
      </w:r>
      <w:r w:rsidR="0067201A" w:rsidRPr="0067201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в конструкции</w:t>
      </w:r>
      <w:r w:rsidR="0067201A" w:rsidRPr="0067201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пульсоксиметров является наличие в их конструкции аналого-цифрового преобразователя</w:t>
      </w:r>
      <w:r w:rsidR="00306BE8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(</w:t>
      </w:r>
      <w:r w:rsidR="00306BE8" w:rsidRPr="00306BE8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АЦП</w:t>
      </w:r>
      <w:r w:rsidR="00306BE8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)</w:t>
      </w:r>
      <w:r w:rsidR="0067201A" w:rsidRPr="0067201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,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передаточная функция которой</w:t>
      </w:r>
      <w:r w:rsidR="0067201A" w:rsidRPr="0067201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 w:rsidRP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искажает информацию в структуре пульсовой волны, индивидуальную для каждого человека, которую дальнейшей обработкой восстановить невозможно </w:t>
      </w:r>
      <w:r w:rsidR="00A77587" w:rsidRPr="00A77587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/>
        </w:rPr>
        <w:t>[</w:t>
      </w:r>
      <w:r w:rsidR="00A77587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/>
        </w:rPr>
        <w:t>3</w:t>
      </w:r>
      <w:r w:rsidR="00A77587" w:rsidRPr="00A77587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/>
        </w:rPr>
        <w:t>]</w:t>
      </w:r>
      <w:r w:rsidR="0067201A" w:rsidRPr="0067201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. </w:t>
      </w:r>
      <w:r w:rsidR="00A77587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Э</w:t>
      </w:r>
      <w:r w:rsidR="0067201A" w:rsidRPr="0067201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то побудило нас разработать новый метод регистрации и обработки пульсовой волны.</w:t>
      </w:r>
      <w:r w:rsidR="00756DCE">
        <w:rPr>
          <w:rStyle w:val="a3"/>
          <w:rFonts w:asciiTheme="majorBidi" w:hAnsiTheme="majorBidi" w:cstheme="majorBidi" w:hint="cs"/>
          <w:color w:val="auto"/>
          <w:sz w:val="24"/>
          <w:szCs w:val="24"/>
          <w:u w:val="none"/>
          <w:rtl/>
          <w:lang w:val="ru-RU" w:bidi="ar-SY"/>
        </w:rPr>
        <w:t xml:space="preserve">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Он</w:t>
      </w:r>
      <w:r w:rsidR="00756DCE" w:rsidRPr="00756DCE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основан на регистрации сигнала поглощения лазерного излучения в дальней периферийной зоне с использованием линейки ПЗС со строчным переносом заряда</w:t>
      </w:r>
      <w:r w:rsidR="007552B1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(</w:t>
      </w:r>
      <w:r w:rsidR="007552B1" w:rsidRPr="007552B1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АЦП в такой конструкции не требуется</w:t>
      </w:r>
      <w:r w:rsidR="007552B1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)</w:t>
      </w:r>
      <w:r w:rsidR="00756DCE" w:rsidRPr="00756DCE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.</w:t>
      </w:r>
    </w:p>
    <w:p w14:paraId="11740E8D" w14:textId="2FAC89BE" w:rsidR="004A7341" w:rsidRPr="00B152B6" w:rsidRDefault="00B152B6" w:rsidP="00795F83">
      <w:pPr>
        <w:spacing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  <w:r w:rsidRP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Линейка ПЗС и технология её размещения в оптическом датчике был разработан</w:t>
      </w:r>
      <w:r w:rsidR="00374B5E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а</w:t>
      </w:r>
      <w:r w:rsidRP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таким образом, чтобы принцип регистрации сигнала поглощения лазерного излучения (рис. 1) в дальней периферийной зоне при её использовании принципиально не меняется, по сравнению с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обычным </w:t>
      </w:r>
      <w:r w:rsidRP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использованием ПЗС матрицы в оптическом датчике</w:t>
      </w:r>
      <w:r w:rsidR="00D26EA1" w:rsidRPr="004C601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.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 w:rsidRP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При использовании линейки ПЗС функции пульсоксиметра (определение пульса и процент насыщения гемоглобина кислородом) сохраняются.</w:t>
      </w:r>
    </w:p>
    <w:p w14:paraId="160D09CC" w14:textId="77777777" w:rsidR="00D26EA1" w:rsidRDefault="00D26EA1" w:rsidP="00A62E2B">
      <w:pPr>
        <w:keepNext/>
        <w:spacing w:after="0" w:line="240" w:lineRule="auto"/>
        <w:ind w:firstLine="720"/>
        <w:jc w:val="center"/>
      </w:pPr>
      <w:r w:rsidRPr="00BB53C3">
        <w:rPr>
          <w:noProof/>
          <w:lang w:val="ru-RU" w:eastAsia="ja-JP"/>
        </w:rPr>
        <w:drawing>
          <wp:inline distT="0" distB="0" distL="0" distR="0" wp14:anchorId="69930170" wp14:editId="31AD6BF8">
            <wp:extent cx="2160000" cy="1271326"/>
            <wp:effectExtent l="0" t="0" r="0" b="5080"/>
            <wp:docPr id="817571841" name="Рисунок 1" descr="Изображение выглядит как диаграмма, рисунок, зарисовка, искус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571841" name="Рисунок 1" descr="Изображение выглядит как диаграмма, рисунок, зарисовка, искусство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7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DF6E" w14:textId="0A193FDE" w:rsidR="00D26EA1" w:rsidRPr="00296FCF" w:rsidRDefault="00D26EA1" w:rsidP="00FA6FEB">
      <w:pPr>
        <w:pStyle w:val="a7"/>
        <w:spacing w:after="0"/>
        <w:jc w:val="center"/>
        <w:rPr>
          <w:rFonts w:asciiTheme="majorBidi" w:hAnsiTheme="majorBidi" w:cstheme="majorBidi"/>
          <w:i w:val="0"/>
          <w:iCs w:val="0"/>
          <w:color w:val="auto"/>
          <w:sz w:val="22"/>
          <w:szCs w:val="22"/>
          <w:shd w:val="clear" w:color="auto" w:fill="FFFFFF"/>
          <w:lang w:val="ru-RU"/>
        </w:rPr>
      </w:pP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ru-RU"/>
        </w:rPr>
        <w:t xml:space="preserve">Рис </w: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fldChar w:fldCharType="begin"/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ru-RU"/>
        </w:rPr>
        <w:instrText xml:space="preserve"> </w:instrTex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instrText>SEQ</w:instrTex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ru-RU"/>
        </w:rPr>
        <w:instrText xml:space="preserve"> Рис \* </w:instrTex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instrText>ARABIC</w:instrTex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ru-RU"/>
        </w:rPr>
        <w:instrText xml:space="preserve"> </w:instrTex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fldChar w:fldCharType="separate"/>
      </w:r>
      <w:r w:rsidR="0023114C">
        <w:rPr>
          <w:rFonts w:asciiTheme="majorBidi" w:hAnsiTheme="majorBidi" w:cstheme="majorBidi"/>
          <w:i w:val="0"/>
          <w:iCs w:val="0"/>
          <w:noProof/>
          <w:color w:val="auto"/>
          <w:sz w:val="22"/>
          <w:szCs w:val="22"/>
          <w:lang w:val="ru-RU"/>
        </w:rPr>
        <w:t>1</w: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fldChar w:fldCharType="end"/>
      </w:r>
      <w:r w:rsidRPr="00296FCF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ru-RU"/>
        </w:rPr>
        <w:t>.</w: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shd w:val="clear" w:color="auto" w:fill="FFFFFF"/>
          <w:lang w:val="ru-RU"/>
        </w:rPr>
        <w:t xml:space="preserve"> Структурная схема регистрации сигнала поглощения лазерного излучения: 1 – полупроводниковый лазерный диод на </w: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shd w:val="clear" w:color="auto" w:fill="FFFFFF"/>
        </w:rPr>
        <w:t>λ</w: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shd w:val="clear" w:color="auto" w:fill="FFFFFF"/>
          <w:lang w:val="ru-RU"/>
        </w:rPr>
        <w:t xml:space="preserve"> = 660 нм, 2 - полупроводниковый лазерный диод на </w: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shd w:val="clear" w:color="auto" w:fill="FFFFFF"/>
        </w:rPr>
        <w:t>λ</w: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shd w:val="clear" w:color="auto" w:fill="FFFFFF"/>
          <w:lang w:val="ru-RU"/>
        </w:rPr>
        <w:t xml:space="preserve"> = 940 нм, 3 – линейка ПЗС, 4 – корпус датчика, 5 – ноготь, 6 – палец, 7 – кровеносные сосуды.</w:t>
      </w:r>
    </w:p>
    <w:p w14:paraId="20508DF2" w14:textId="77777777" w:rsidR="00B152B6" w:rsidRDefault="00B152B6" w:rsidP="00795F83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</w:p>
    <w:p w14:paraId="1F967AB7" w14:textId="0C3E3BB9" w:rsidR="009C787B" w:rsidRPr="009C787B" w:rsidRDefault="009C787B" w:rsidP="00795F83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  <w:r w:rsidRPr="009C787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На рис.</w:t>
      </w:r>
      <w:r w:rsidR="00FA6FE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2</w:t>
      </w:r>
      <w:r w:rsidRPr="009C787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в качестве примера представлены два сигнала пульсовой волны зарегистрированные от одного пациента в течение 3 минут с использованием двух различных оптических датчиков (с ПЗС матрицей и линейкой ПЗС). С использованием датчика с линейкой ПЗС</w:t>
      </w:r>
      <w:r w:rsid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удалось выявить </w:t>
      </w:r>
      <w:r w:rsidR="005F0E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дополнительный (третий пик) </w:t>
      </w:r>
      <w:r w:rsidR="00374B5E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в сигнале пульсовой волны при обследовании пациента через несколько минут после первого обследования с датчиком с ПЗС матрицей</w:t>
      </w:r>
      <w:r w:rsidR="00344C6F" w:rsidRPr="00344C6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. </w:t>
      </w:r>
    </w:p>
    <w:p w14:paraId="6DC06DCD" w14:textId="366A1B58" w:rsidR="009C787B" w:rsidRDefault="009C787B" w:rsidP="00A62E2B">
      <w:pPr>
        <w:keepNext/>
        <w:spacing w:after="0"/>
        <w:jc w:val="center"/>
      </w:pPr>
      <w:r w:rsidRPr="001920EC">
        <w:rPr>
          <w:b/>
          <w:noProof/>
          <w:lang w:val="ru-RU" w:eastAsia="ja-JP"/>
        </w:rPr>
        <w:lastRenderedPageBreak/>
        <w:drawing>
          <wp:inline distT="0" distB="0" distL="0" distR="0" wp14:anchorId="7D107878" wp14:editId="47040981">
            <wp:extent cx="1800000" cy="1140042"/>
            <wp:effectExtent l="0" t="0" r="0" b="3175"/>
            <wp:docPr id="2" name="Рисунок 3" descr="Изображение выглядит как диаграмма, текст, График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48771" name="Рисунок 3" descr="Изображение выглядит как диаграмма, текст, График, линия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4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0EC">
        <w:rPr>
          <w:b/>
          <w:noProof/>
          <w:lang w:val="ru-RU" w:eastAsia="ja-JP"/>
        </w:rPr>
        <w:drawing>
          <wp:inline distT="0" distB="0" distL="0" distR="0" wp14:anchorId="02501D71" wp14:editId="148DA3FB">
            <wp:extent cx="1800000" cy="1140045"/>
            <wp:effectExtent l="0" t="0" r="0" b="3175"/>
            <wp:docPr id="7" name="Рисунок 4" descr="Изображение выглядит как диаграмма, текст, График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99579" name="Рисунок 4" descr="Изображение выглядит как диаграмма, текст, График, линия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4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A5EC2" w14:textId="701F89BD" w:rsidR="00D51D7F" w:rsidRDefault="009C787B" w:rsidP="00230CB8">
      <w:pPr>
        <w:spacing w:after="0" w:line="240" w:lineRule="auto"/>
        <w:ind w:firstLine="709"/>
        <w:jc w:val="center"/>
        <w:rPr>
          <w:rFonts w:asciiTheme="majorBidi" w:hAnsiTheme="majorBidi" w:cstheme="majorBidi"/>
          <w:shd w:val="clear" w:color="auto" w:fill="FFFFFF"/>
          <w:lang w:val="ru-RU"/>
        </w:rPr>
      </w:pPr>
      <w:r w:rsidRPr="009C787B">
        <w:rPr>
          <w:rFonts w:asciiTheme="majorBidi" w:hAnsiTheme="majorBidi" w:cstheme="majorBidi"/>
          <w:shd w:val="clear" w:color="auto" w:fill="FFFFFF"/>
          <w:lang w:val="ru-RU"/>
        </w:rPr>
        <w:t xml:space="preserve">Рис </w:t>
      </w:r>
      <w:r w:rsidRPr="009C787B">
        <w:rPr>
          <w:rFonts w:asciiTheme="majorBidi" w:hAnsiTheme="majorBidi" w:cstheme="majorBidi"/>
          <w:shd w:val="clear" w:color="auto" w:fill="FFFFFF"/>
          <w:lang w:val="ru-RU"/>
        </w:rPr>
        <w:fldChar w:fldCharType="begin"/>
      </w:r>
      <w:r w:rsidRPr="009C787B">
        <w:rPr>
          <w:rFonts w:asciiTheme="majorBidi" w:hAnsiTheme="majorBidi" w:cstheme="majorBidi"/>
          <w:shd w:val="clear" w:color="auto" w:fill="FFFFFF"/>
          <w:lang w:val="ru-RU"/>
        </w:rPr>
        <w:instrText xml:space="preserve"> SEQ Рис \* ARABIC </w:instrText>
      </w:r>
      <w:r w:rsidRPr="009C787B">
        <w:rPr>
          <w:rFonts w:asciiTheme="majorBidi" w:hAnsiTheme="majorBidi" w:cstheme="majorBidi"/>
          <w:shd w:val="clear" w:color="auto" w:fill="FFFFFF"/>
          <w:lang w:val="ru-RU"/>
        </w:rPr>
        <w:fldChar w:fldCharType="separate"/>
      </w:r>
      <w:r w:rsidR="0023114C">
        <w:rPr>
          <w:rFonts w:asciiTheme="majorBidi" w:hAnsiTheme="majorBidi" w:cstheme="majorBidi"/>
          <w:noProof/>
          <w:shd w:val="clear" w:color="auto" w:fill="FFFFFF"/>
          <w:lang w:val="ru-RU"/>
        </w:rPr>
        <w:t>2</w:t>
      </w:r>
      <w:r w:rsidRPr="009C787B">
        <w:rPr>
          <w:rFonts w:asciiTheme="majorBidi" w:hAnsiTheme="majorBidi" w:cstheme="majorBidi"/>
          <w:shd w:val="clear" w:color="auto" w:fill="FFFFFF"/>
          <w:lang w:val="ru-RU"/>
        </w:rPr>
        <w:fldChar w:fldCharType="end"/>
      </w:r>
      <w:r w:rsidRPr="009C787B">
        <w:rPr>
          <w:rFonts w:asciiTheme="majorBidi" w:hAnsiTheme="majorBidi" w:cstheme="majorBidi"/>
          <w:shd w:val="clear" w:color="auto" w:fill="FFFFFF"/>
          <w:lang w:val="ru-RU"/>
        </w:rPr>
        <w:t xml:space="preserve"> (а, б). Зависимость отношения амплитуд регистрируемого сигнала пульсовой волны для различных устройств регистрации лазерного излучения в конструкции оптического датчика: а) – ПЗС матрица, б) – линейка ПЗС.</w:t>
      </w:r>
    </w:p>
    <w:p w14:paraId="4560EF28" w14:textId="77777777" w:rsidR="005F0EB6" w:rsidRDefault="005F0EB6" w:rsidP="00795F83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</w:p>
    <w:p w14:paraId="132CCD8D" w14:textId="30F093B4" w:rsidR="003714EF" w:rsidRDefault="005F0EB6" w:rsidP="00795F83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Для отслеживания негативных изменений в работе сердечно-сосудистой системы проводится</w:t>
      </w:r>
      <w:r w:rsidR="00F47EFA" w:rsidRPr="00F47EF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обработк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а</w:t>
      </w:r>
      <w:r w:rsidR="00F47EFA" w:rsidRPr="00F47EF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сигнала пульсовой волны</w:t>
      </w:r>
      <w:r w:rsidR="00E513B6" w:rsidRPr="00E94E3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.</w:t>
      </w:r>
      <w:r w:rsidR="00E513B6" w:rsidRPr="00296FC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 w:rsidR="00E513B6" w:rsidRPr="00E94E3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Разделив период пульсовой волны на части: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нарастание</w:t>
      </w:r>
      <w:r w:rsidR="00E513B6" w:rsidRPr="00E94E3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,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спад</w:t>
      </w:r>
      <w:r w:rsidR="00E513B6" w:rsidRPr="00E94E3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и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окрестности максимумов</w:t>
      </w:r>
      <w:r w:rsidR="00E513B6" w:rsidRPr="00E94E3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,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разработанными</w:t>
      </w:r>
      <w:r w:rsidR="00E513B6" w:rsidRPr="00E94E3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математическими функциями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сигнал преобразуется и визуализируется на графиках.</w:t>
      </w:r>
      <w:r w:rsidR="003714E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Пример таких результатов показан на рис. 3 и 4.</w:t>
      </w:r>
      <w:r w:rsidR="003714E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 w:rsidR="003714EF" w:rsidRPr="003714E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Полученные результат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ы</w:t>
      </w:r>
      <w:r w:rsidR="003714EF" w:rsidRPr="003714E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обработки позволяют установить, что использование новой системы регистрации сигнала поглощения лазерного излучения с более высоким отношении сигнал/шум вносит изменения в структуру гистограмм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 w:rsidR="003714EF" w:rsidRPr="003714E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при рассмотрении первого и второго максимума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, помогая выявить изменения.</w:t>
      </w:r>
    </w:p>
    <w:p w14:paraId="0B817B19" w14:textId="77777777" w:rsidR="005F0EB6" w:rsidRPr="003714EF" w:rsidRDefault="005F0EB6" w:rsidP="00795F83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710"/>
        <w:gridCol w:w="4710"/>
      </w:tblGrid>
      <w:tr w:rsidR="0023114C" w:rsidRPr="00CA1906" w14:paraId="024DEBD8" w14:textId="77777777" w:rsidTr="003714EF">
        <w:trPr>
          <w:trHeight w:val="3466"/>
          <w:jc w:val="center"/>
        </w:trPr>
        <w:tc>
          <w:tcPr>
            <w:tcW w:w="4710" w:type="dxa"/>
          </w:tcPr>
          <w:p w14:paraId="04E4254C" w14:textId="77777777" w:rsidR="0023114C" w:rsidRDefault="0023114C" w:rsidP="006A0486">
            <w:pPr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1920EC">
              <w:rPr>
                <w:b/>
                <w:noProof/>
                <w:lang w:val="ru-RU" w:eastAsia="ja-JP"/>
              </w:rPr>
              <w:drawing>
                <wp:inline distT="0" distB="0" distL="0" distR="0" wp14:anchorId="2CCB50D3" wp14:editId="6F95FFFE">
                  <wp:extent cx="1737360" cy="1696513"/>
                  <wp:effectExtent l="0" t="0" r="0" b="0"/>
                  <wp:docPr id="113856602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566028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191" cy="170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BCA60" w14:textId="47F2F37D" w:rsidR="0023114C" w:rsidRPr="0023114C" w:rsidRDefault="0023114C" w:rsidP="00A44DA1">
            <w:pPr>
              <w:contextualSpacing/>
              <w:jc w:val="center"/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t xml:space="preserve">Рис </w:t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fldChar w:fldCharType="begin"/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instrText xml:space="preserve"> SEQ Рис \* ARABIC </w:instrText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hd w:val="clear" w:color="auto" w:fill="FFFFFF"/>
                <w:lang w:val="ru-RU"/>
              </w:rPr>
              <w:t>3</w:t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fldChar w:fldCharType="end"/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t>. Результаты обработки максимумов одного периода пульсовой волны: график (а) соответствует её регистрации с использованием ПЗС матрицы, график (б) – линейки ПЗС.</w:t>
            </w:r>
          </w:p>
        </w:tc>
        <w:tc>
          <w:tcPr>
            <w:tcW w:w="4710" w:type="dxa"/>
          </w:tcPr>
          <w:p w14:paraId="7F8AC7DA" w14:textId="77777777" w:rsidR="0023114C" w:rsidRPr="0023114C" w:rsidRDefault="0023114C" w:rsidP="006A0486">
            <w:pPr>
              <w:keepNext/>
              <w:jc w:val="center"/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r w:rsidRPr="0023114C">
              <w:rPr>
                <w:rFonts w:asciiTheme="majorBidi" w:hAnsiTheme="majorBidi" w:cstheme="majorBidi"/>
                <w:noProof/>
                <w:shd w:val="clear" w:color="auto" w:fill="FFFFFF"/>
                <w:lang w:val="ru-RU" w:eastAsia="ja-JP"/>
              </w:rPr>
              <w:drawing>
                <wp:inline distT="0" distB="0" distL="0" distR="0" wp14:anchorId="130C7C18" wp14:editId="312275A3">
                  <wp:extent cx="1706880" cy="1666751"/>
                  <wp:effectExtent l="0" t="0" r="7620" b="0"/>
                  <wp:docPr id="1497833040" name="Рисунок 3" descr="Изображение выглядит как текст, диаграмма, снимок экрана, Пла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833040" name="Рисунок 3" descr="Изображение выглядит как текст, диаграмма, снимок экрана, Пла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557" cy="167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FBF62" w14:textId="4C0DC95E" w:rsidR="0023114C" w:rsidRPr="0023114C" w:rsidRDefault="0023114C" w:rsidP="00A44DA1">
            <w:pPr>
              <w:contextualSpacing/>
              <w:jc w:val="center"/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t xml:space="preserve">Рис </w:t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fldChar w:fldCharType="begin"/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instrText xml:space="preserve"> SEQ Рис \* ARABIC </w:instrText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fldChar w:fldCharType="separate"/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t>4</w:t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fldChar w:fldCharType="end"/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t>. Результаты обработки фронтов нарастания одного периода пульсовой волны: график (а) соответствует её регистрации с использованием ПЗС матрицы, график (б) – линейки ПЗС.</w:t>
            </w:r>
          </w:p>
        </w:tc>
      </w:tr>
    </w:tbl>
    <w:p w14:paraId="479599C6" w14:textId="77777777" w:rsidR="005F0EB6" w:rsidRDefault="005F0EB6" w:rsidP="00795F83">
      <w:pPr>
        <w:keepNext/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</w:p>
    <w:p w14:paraId="4962A754" w14:textId="70BBCA6A" w:rsidR="005F0EB6" w:rsidRPr="00137840" w:rsidRDefault="00137840" w:rsidP="00CF7580">
      <w:pPr>
        <w:keepNext/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rtl/>
          <w:lang w:val="ru-RU" w:bidi="ar-SY"/>
        </w:rPr>
      </w:pPr>
      <w:r w:rsidRPr="00137840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Полученные результаты экспериментальных исследований показали эффективность разработанн</w:t>
      </w:r>
      <w:r w:rsidR="005F0E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ой конструкции и методики обработки</w:t>
      </w:r>
      <w:r w:rsidR="00374B5E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сигнала пульсовой волны. </w:t>
      </w:r>
      <w:r w:rsidR="00CF7580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Клинические результаты обследования пациента подтвердили выявленные отклонения в работе сердечно-сосудистой системы. </w:t>
      </w:r>
    </w:p>
    <w:p w14:paraId="2DC478AC" w14:textId="77777777" w:rsidR="00C25F31" w:rsidRPr="00CF7580" w:rsidRDefault="00C25F31" w:rsidP="00C25F31">
      <w:pPr>
        <w:spacing w:after="0" w:line="240" w:lineRule="auto"/>
        <w:ind w:firstLine="425"/>
        <w:jc w:val="center"/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  <w:lang w:val="ru-RU"/>
        </w:rPr>
      </w:pPr>
      <w:r w:rsidRPr="00CF7580"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  <w:lang w:val="ru-RU"/>
        </w:rPr>
        <w:t>Литература</w:t>
      </w:r>
    </w:p>
    <w:p w14:paraId="126AA7DF" w14:textId="2CE55D2F" w:rsidR="00B2310D" w:rsidRPr="00B2310D" w:rsidRDefault="00B2310D" w:rsidP="00374B5E">
      <w:pPr>
        <w:pStyle w:val="aa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en-US"/>
        </w:rPr>
      </w:pPr>
      <w:proofErr w:type="spellStart"/>
      <w:r w:rsidRPr="00B2310D">
        <w:rPr>
          <w:rFonts w:asciiTheme="majorBidi" w:hAnsiTheme="majorBidi" w:cstheme="majorBidi"/>
          <w:sz w:val="24"/>
          <w:szCs w:val="24"/>
          <w:lang w:bidi="en-US"/>
        </w:rPr>
        <w:t>Bergis</w:t>
      </w:r>
      <w:proofErr w:type="spellEnd"/>
      <w:r w:rsidRPr="00B2310D">
        <w:rPr>
          <w:rFonts w:asciiTheme="majorBidi" w:hAnsiTheme="majorBidi" w:cstheme="majorBidi"/>
          <w:sz w:val="24"/>
          <w:szCs w:val="24"/>
          <w:lang w:bidi="en-US"/>
        </w:rPr>
        <w:t xml:space="preserve">, B.; </w:t>
      </w:r>
      <w:proofErr w:type="spellStart"/>
      <w:r w:rsidRPr="00B2310D">
        <w:rPr>
          <w:rFonts w:asciiTheme="majorBidi" w:hAnsiTheme="majorBidi" w:cstheme="majorBidi"/>
          <w:sz w:val="24"/>
          <w:szCs w:val="24"/>
          <w:lang w:bidi="en-US"/>
        </w:rPr>
        <w:t>Harrois</w:t>
      </w:r>
      <w:proofErr w:type="spellEnd"/>
      <w:r w:rsidRPr="00B2310D">
        <w:rPr>
          <w:rFonts w:asciiTheme="majorBidi" w:hAnsiTheme="majorBidi" w:cstheme="majorBidi"/>
          <w:sz w:val="24"/>
          <w:szCs w:val="24"/>
          <w:lang w:bidi="en-US"/>
        </w:rPr>
        <w:t xml:space="preserve">, A.; </w:t>
      </w:r>
      <w:proofErr w:type="spellStart"/>
      <w:r w:rsidRPr="00B2310D">
        <w:rPr>
          <w:rFonts w:asciiTheme="majorBidi" w:hAnsiTheme="majorBidi" w:cstheme="majorBidi"/>
          <w:sz w:val="24"/>
          <w:szCs w:val="24"/>
          <w:lang w:bidi="en-US"/>
        </w:rPr>
        <w:t>Duranteau</w:t>
      </w:r>
      <w:proofErr w:type="spellEnd"/>
      <w:r w:rsidRPr="00B2310D">
        <w:rPr>
          <w:rFonts w:asciiTheme="majorBidi" w:hAnsiTheme="majorBidi" w:cstheme="majorBidi"/>
          <w:sz w:val="24"/>
          <w:szCs w:val="24"/>
          <w:lang w:bidi="en-US"/>
        </w:rPr>
        <w:t>, J. Microcirculation: Physiological Background. In Advanced Hemodynamic Monitoring: Basics and New Horizons, Eds.; Springer: Cham, Switzerland, 2021; pp. 173–180.</w:t>
      </w:r>
    </w:p>
    <w:p w14:paraId="78891999" w14:textId="6E0704F8" w:rsidR="00A77587" w:rsidRPr="00A77587" w:rsidRDefault="00A77587" w:rsidP="00A77587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en-US"/>
        </w:rPr>
      </w:pPr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Rosic, T.; Petrina, N.; </w:t>
      </w:r>
      <w:proofErr w:type="spellStart"/>
      <w:r w:rsidRPr="00A77587">
        <w:rPr>
          <w:rFonts w:asciiTheme="majorBidi" w:hAnsiTheme="majorBidi" w:cstheme="majorBidi"/>
          <w:sz w:val="24"/>
          <w:szCs w:val="24"/>
          <w:lang w:bidi="en-US"/>
        </w:rPr>
        <w:t>Baysari</w:t>
      </w:r>
      <w:proofErr w:type="spellEnd"/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 M.; Ritchie A.; Poon, S.K. Patient and clinician use characteristics and perceptions of pulse oximeter use: A scoping review. International Journal of Medical Informatics</w:t>
      </w:r>
      <w:r w:rsidR="00CF7580">
        <w:rPr>
          <w:rFonts w:asciiTheme="majorBidi" w:hAnsiTheme="majorBidi" w:cstheme="majorBidi"/>
          <w:sz w:val="24"/>
          <w:szCs w:val="24"/>
          <w:lang w:bidi="en-US"/>
        </w:rPr>
        <w:t>.</w:t>
      </w:r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 2022</w:t>
      </w:r>
      <w:r w:rsidR="00CF7580">
        <w:rPr>
          <w:rFonts w:asciiTheme="majorBidi" w:hAnsiTheme="majorBidi" w:cstheme="majorBidi"/>
          <w:sz w:val="24"/>
          <w:szCs w:val="24"/>
          <w:lang w:bidi="en-US"/>
        </w:rPr>
        <w:t>.</w:t>
      </w:r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 </w:t>
      </w:r>
      <w:r w:rsidR="00CF7580">
        <w:rPr>
          <w:rFonts w:asciiTheme="majorBidi" w:hAnsiTheme="majorBidi" w:cstheme="majorBidi"/>
          <w:sz w:val="24"/>
          <w:szCs w:val="24"/>
          <w:lang w:bidi="en-US"/>
        </w:rPr>
        <w:t xml:space="preserve">Vol. </w:t>
      </w:r>
      <w:r w:rsidRPr="00A77587">
        <w:rPr>
          <w:rFonts w:asciiTheme="majorBidi" w:hAnsiTheme="majorBidi" w:cstheme="majorBidi"/>
          <w:sz w:val="24"/>
          <w:szCs w:val="24"/>
          <w:lang w:bidi="en-US"/>
        </w:rPr>
        <w:t>162</w:t>
      </w:r>
      <w:r w:rsidR="00CF7580">
        <w:rPr>
          <w:rFonts w:asciiTheme="majorBidi" w:hAnsiTheme="majorBidi" w:cstheme="majorBidi"/>
          <w:sz w:val="24"/>
          <w:szCs w:val="24"/>
          <w:lang w:bidi="en-US"/>
        </w:rPr>
        <w:t>. Pp.</w:t>
      </w:r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 104735.</w:t>
      </w:r>
      <w:r w:rsidR="00B2310D" w:rsidRPr="00A77587">
        <w:rPr>
          <w:rFonts w:asciiTheme="majorBidi" w:hAnsiTheme="majorBidi" w:cstheme="majorBidi"/>
          <w:sz w:val="24"/>
          <w:szCs w:val="24"/>
          <w:lang w:bidi="en-US"/>
        </w:rPr>
        <w:t xml:space="preserve"> </w:t>
      </w:r>
    </w:p>
    <w:p w14:paraId="78BF0119" w14:textId="6DC4E3C8" w:rsidR="005014A9" w:rsidRPr="003052EA" w:rsidRDefault="00A77587" w:rsidP="003052EA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en-US"/>
        </w:rPr>
      </w:pPr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Fine, J.; Branan, K.L.; Rodriguez, A.J.; </w:t>
      </w:r>
      <w:proofErr w:type="spellStart"/>
      <w:r w:rsidRPr="00A77587">
        <w:rPr>
          <w:rFonts w:asciiTheme="majorBidi" w:hAnsiTheme="majorBidi" w:cstheme="majorBidi"/>
          <w:sz w:val="24"/>
          <w:szCs w:val="24"/>
          <w:lang w:bidi="en-US"/>
        </w:rPr>
        <w:t>Boonya-ananta</w:t>
      </w:r>
      <w:proofErr w:type="spellEnd"/>
      <w:r w:rsidRPr="00A77587">
        <w:rPr>
          <w:rFonts w:asciiTheme="majorBidi" w:hAnsiTheme="majorBidi" w:cstheme="majorBidi"/>
          <w:sz w:val="24"/>
          <w:szCs w:val="24"/>
          <w:lang w:bidi="en-US"/>
        </w:rPr>
        <w:t>, T.; Ajmal; Ramella-Roman, J.C.; McShane, M.J.; Coté, G.L. Sources of Inaccuracy in Photoplethysmography for Continuous Cardiovascular Monitoring. Biosensors</w:t>
      </w:r>
      <w:r w:rsidR="00CF7580">
        <w:rPr>
          <w:rFonts w:asciiTheme="majorBidi" w:hAnsiTheme="majorBidi" w:cstheme="majorBidi"/>
          <w:sz w:val="24"/>
          <w:szCs w:val="24"/>
          <w:lang w:bidi="en-US"/>
        </w:rPr>
        <w:t>.</w:t>
      </w:r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 2021</w:t>
      </w:r>
      <w:r w:rsidR="00CF7580">
        <w:rPr>
          <w:rFonts w:asciiTheme="majorBidi" w:hAnsiTheme="majorBidi" w:cstheme="majorBidi"/>
          <w:sz w:val="24"/>
          <w:szCs w:val="24"/>
          <w:lang w:bidi="en-US"/>
        </w:rPr>
        <w:t xml:space="preserve">. Vol. </w:t>
      </w:r>
      <w:r w:rsidRPr="00A77587">
        <w:rPr>
          <w:rFonts w:asciiTheme="majorBidi" w:hAnsiTheme="majorBidi" w:cstheme="majorBidi"/>
          <w:sz w:val="24"/>
          <w:szCs w:val="24"/>
          <w:lang w:bidi="en-US"/>
        </w:rPr>
        <w:t>11</w:t>
      </w:r>
      <w:r w:rsidR="00CF7580">
        <w:rPr>
          <w:rFonts w:asciiTheme="majorBidi" w:hAnsiTheme="majorBidi" w:cstheme="majorBidi"/>
          <w:sz w:val="24"/>
          <w:szCs w:val="24"/>
          <w:lang w:bidi="en-US"/>
        </w:rPr>
        <w:t>. pp.</w:t>
      </w:r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 126.</w:t>
      </w:r>
    </w:p>
    <w:sectPr w:rsidR="005014A9" w:rsidRPr="003052EA" w:rsidSect="00CF7580">
      <w:pgSz w:w="12240" w:h="15840"/>
      <w:pgMar w:top="1134" w:right="1361" w:bottom="1135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420" w:hanging="42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F76B77"/>
    <w:multiLevelType w:val="hybridMultilevel"/>
    <w:tmpl w:val="1BDC29D6"/>
    <w:lvl w:ilvl="0" w:tplc="0409000F">
      <w:start w:val="1"/>
      <w:numFmt w:val="decimal"/>
      <w:lvlText w:val="%1."/>
      <w:lvlJc w:val="left"/>
      <w:pPr>
        <w:ind w:left="363" w:hanging="360"/>
      </w:p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58"/>
    <w:rsid w:val="00000CAB"/>
    <w:rsid w:val="000513C7"/>
    <w:rsid w:val="000609AD"/>
    <w:rsid w:val="000822FD"/>
    <w:rsid w:val="0011746C"/>
    <w:rsid w:val="001244B2"/>
    <w:rsid w:val="00137840"/>
    <w:rsid w:val="002232CA"/>
    <w:rsid w:val="00230CB8"/>
    <w:rsid w:val="0023114C"/>
    <w:rsid w:val="002352FC"/>
    <w:rsid w:val="002439D4"/>
    <w:rsid w:val="002754C2"/>
    <w:rsid w:val="002929B7"/>
    <w:rsid w:val="00296FCF"/>
    <w:rsid w:val="002C610F"/>
    <w:rsid w:val="003052EA"/>
    <w:rsid w:val="00306BE8"/>
    <w:rsid w:val="00332DB6"/>
    <w:rsid w:val="00344C6F"/>
    <w:rsid w:val="003714EF"/>
    <w:rsid w:val="00371D74"/>
    <w:rsid w:val="00374B5E"/>
    <w:rsid w:val="003950C8"/>
    <w:rsid w:val="00404942"/>
    <w:rsid w:val="00491F7B"/>
    <w:rsid w:val="004A7341"/>
    <w:rsid w:val="004C601A"/>
    <w:rsid w:val="005014A9"/>
    <w:rsid w:val="00555AA1"/>
    <w:rsid w:val="00573690"/>
    <w:rsid w:val="005B31B1"/>
    <w:rsid w:val="005C3747"/>
    <w:rsid w:val="005F0EB6"/>
    <w:rsid w:val="005F3597"/>
    <w:rsid w:val="005F67F4"/>
    <w:rsid w:val="00611910"/>
    <w:rsid w:val="0067201A"/>
    <w:rsid w:val="00672242"/>
    <w:rsid w:val="00697B55"/>
    <w:rsid w:val="006A0486"/>
    <w:rsid w:val="006D1400"/>
    <w:rsid w:val="006E3ECD"/>
    <w:rsid w:val="006E41D3"/>
    <w:rsid w:val="00707241"/>
    <w:rsid w:val="00712D3F"/>
    <w:rsid w:val="00732622"/>
    <w:rsid w:val="00754425"/>
    <w:rsid w:val="007552B1"/>
    <w:rsid w:val="00756DCE"/>
    <w:rsid w:val="0077579B"/>
    <w:rsid w:val="00795F83"/>
    <w:rsid w:val="00951641"/>
    <w:rsid w:val="00955B0E"/>
    <w:rsid w:val="009965C4"/>
    <w:rsid w:val="009A0984"/>
    <w:rsid w:val="009C787B"/>
    <w:rsid w:val="009F7667"/>
    <w:rsid w:val="00A434FD"/>
    <w:rsid w:val="00A44DA1"/>
    <w:rsid w:val="00A477B4"/>
    <w:rsid w:val="00A52558"/>
    <w:rsid w:val="00A62E2B"/>
    <w:rsid w:val="00A77587"/>
    <w:rsid w:val="00AD2487"/>
    <w:rsid w:val="00B152B6"/>
    <w:rsid w:val="00B16553"/>
    <w:rsid w:val="00B2310D"/>
    <w:rsid w:val="00BA559B"/>
    <w:rsid w:val="00C21832"/>
    <w:rsid w:val="00C25F31"/>
    <w:rsid w:val="00CA1906"/>
    <w:rsid w:val="00CF7580"/>
    <w:rsid w:val="00D23A22"/>
    <w:rsid w:val="00D26EA1"/>
    <w:rsid w:val="00D51D7F"/>
    <w:rsid w:val="00DE6E9F"/>
    <w:rsid w:val="00E16E95"/>
    <w:rsid w:val="00E50A51"/>
    <w:rsid w:val="00E513B6"/>
    <w:rsid w:val="00E82B4A"/>
    <w:rsid w:val="00E94E3B"/>
    <w:rsid w:val="00EA31C6"/>
    <w:rsid w:val="00F47EFA"/>
    <w:rsid w:val="00F823CA"/>
    <w:rsid w:val="00FA6FEB"/>
    <w:rsid w:val="00FC0644"/>
    <w:rsid w:val="00FE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4838"/>
  <w15:chartTrackingRefBased/>
  <w15:docId w15:val="{6DE849A2-6A21-41AD-872A-AB5E3AC3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E9F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E9F"/>
    <w:rPr>
      <w:rFonts w:asciiTheme="majorBidi" w:eastAsiaTheme="majorEastAsia" w:hAnsiTheme="majorBidi" w:cstheme="majorBidi"/>
      <w:b/>
      <w:sz w:val="32"/>
      <w:szCs w:val="32"/>
    </w:rPr>
  </w:style>
  <w:style w:type="character" w:styleId="a3">
    <w:name w:val="Hyperlink"/>
    <w:basedOn w:val="a0"/>
    <w:uiPriority w:val="99"/>
    <w:unhideWhenUsed/>
    <w:rsid w:val="00491F7B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491F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91F7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91F7B"/>
    <w:rPr>
      <w:sz w:val="20"/>
      <w:szCs w:val="20"/>
    </w:rPr>
  </w:style>
  <w:style w:type="paragraph" w:styleId="a7">
    <w:name w:val="caption"/>
    <w:basedOn w:val="a"/>
    <w:next w:val="a"/>
    <w:uiPriority w:val="35"/>
    <w:unhideWhenUsed/>
    <w:qFormat/>
    <w:rsid w:val="00D26EA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8">
    <w:name w:val="Strong"/>
    <w:basedOn w:val="a0"/>
    <w:qFormat/>
    <w:rsid w:val="009C787B"/>
    <w:rPr>
      <w:rFonts w:cs="Times New Roman"/>
      <w:b/>
      <w:bCs/>
    </w:rPr>
  </w:style>
  <w:style w:type="table" w:styleId="a9">
    <w:name w:val="Table Grid"/>
    <w:basedOn w:val="a1"/>
    <w:uiPriority w:val="39"/>
    <w:rsid w:val="0023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E513B6"/>
  </w:style>
  <w:style w:type="character" w:customStyle="1" w:styleId="UnresolvedMention">
    <w:name w:val="Unresolved Mention"/>
    <w:basedOn w:val="a0"/>
    <w:uiPriority w:val="99"/>
    <w:semiHidden/>
    <w:unhideWhenUsed/>
    <w:rsid w:val="00A77587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7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estkay@gmail.com" TargetMode="External"/><Relationship Id="rId11" Type="http://schemas.openxmlformats.org/officeDocument/2006/relationships/image" Target="media/image5.tiff"/><Relationship Id="rId5" Type="http://schemas.openxmlformats.org/officeDocument/2006/relationships/webSettings" Target="webSettings.xml"/><Relationship Id="rId10" Type="http://schemas.openxmlformats.org/officeDocument/2006/relationships/image" Target="media/image4.tif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7AB1D-92BF-4323-844F-5DBF8354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Мсукар Сухайр</dc:creator>
  <cp:keywords/>
  <dc:description/>
  <cp:lastModifiedBy>zhest</cp:lastModifiedBy>
  <cp:revision>2</cp:revision>
  <dcterms:created xsi:type="dcterms:W3CDTF">2024-02-13T09:14:00Z</dcterms:created>
  <dcterms:modified xsi:type="dcterms:W3CDTF">2024-02-13T09:14:00Z</dcterms:modified>
</cp:coreProperties>
</file>