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71AF5" w14:textId="77777777" w:rsidR="000C3B1F" w:rsidRDefault="000C3B1F" w:rsidP="009C1BDF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0C3B1F">
        <w:rPr>
          <w:b/>
          <w:bCs/>
        </w:rPr>
        <w:t xml:space="preserve">Обобщенная подстановка </w:t>
      </w:r>
      <w:proofErr w:type="spellStart"/>
      <w:r w:rsidRPr="000C3B1F">
        <w:rPr>
          <w:b/>
          <w:bCs/>
        </w:rPr>
        <w:t>Тажири</w:t>
      </w:r>
      <w:proofErr w:type="spellEnd"/>
      <w:r w:rsidRPr="000C3B1F">
        <w:rPr>
          <w:b/>
          <w:bCs/>
        </w:rPr>
        <w:t xml:space="preserve"> и локализованные решения (1+2)-мерного нелинейного уравнения Клейна-Гордона</w:t>
      </w:r>
    </w:p>
    <w:p w14:paraId="76EA6835" w14:textId="28236359" w:rsidR="009C1BDF" w:rsidRPr="009C1BDF" w:rsidRDefault="00123E1D" w:rsidP="009C1BDF">
      <w:pPr>
        <w:pStyle w:val="a3"/>
        <w:spacing w:before="0" w:beforeAutospacing="0" w:after="0" w:afterAutospacing="0"/>
        <w:jc w:val="center"/>
      </w:pPr>
      <w:r w:rsidRPr="009C1BDF">
        <w:rPr>
          <w:rStyle w:val="a4"/>
          <w:i/>
          <w:iCs/>
        </w:rPr>
        <w:t>Трунин Артем Сергеевич</w:t>
      </w:r>
      <w:r w:rsidR="009C1BDF" w:rsidRPr="009C1BDF">
        <w:rPr>
          <w:rStyle w:val="a4"/>
          <w:i/>
          <w:iCs/>
        </w:rPr>
        <w:t xml:space="preserve"> </w:t>
      </w:r>
    </w:p>
    <w:p w14:paraId="666421FD" w14:textId="217B781E" w:rsidR="00123E1D" w:rsidRPr="009C1BDF" w:rsidRDefault="00044B8E" w:rsidP="009C1BDF">
      <w:pPr>
        <w:pStyle w:val="a3"/>
        <w:spacing w:before="0" w:beforeAutospacing="0" w:after="0" w:afterAutospacing="0"/>
        <w:jc w:val="center"/>
      </w:pPr>
      <w:r w:rsidRPr="009C1BDF">
        <w:rPr>
          <w:rStyle w:val="a5"/>
        </w:rPr>
        <w:t>а</w:t>
      </w:r>
      <w:r w:rsidR="00123E1D" w:rsidRPr="009C1BDF">
        <w:rPr>
          <w:rStyle w:val="a5"/>
        </w:rPr>
        <w:t>спирант</w:t>
      </w:r>
    </w:p>
    <w:p w14:paraId="408A7D99" w14:textId="14E284A0" w:rsidR="00123E1D" w:rsidRPr="009C1BDF" w:rsidRDefault="00123E1D" w:rsidP="009C1BDF">
      <w:pPr>
        <w:spacing w:after="0"/>
        <w:jc w:val="center"/>
        <w:rPr>
          <w:rStyle w:val="a5"/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C1BDF">
        <w:rPr>
          <w:rStyle w:val="a5"/>
          <w:sz w:val="24"/>
          <w:szCs w:val="24"/>
        </w:rPr>
        <w:t xml:space="preserve">Балтийский Федеральный Университет имени </w:t>
      </w:r>
      <w:proofErr w:type="spellStart"/>
      <w:r w:rsidRPr="009C1BDF">
        <w:rPr>
          <w:rStyle w:val="a5"/>
          <w:sz w:val="24"/>
          <w:szCs w:val="24"/>
        </w:rPr>
        <w:t>И.Канта</w:t>
      </w:r>
      <w:proofErr w:type="spellEnd"/>
      <w:r w:rsidRPr="009C1BDF">
        <w:rPr>
          <w:rStyle w:val="a5"/>
          <w:rFonts w:cs="Times New Roman"/>
          <w:sz w:val="24"/>
          <w:szCs w:val="24"/>
        </w:rPr>
        <w:t>, </w:t>
      </w:r>
      <w:r w:rsidR="009C1BDF">
        <w:rPr>
          <w:rStyle w:val="a5"/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образовательно-научный кластер</w:t>
      </w:r>
      <w:r w:rsidRPr="009C1BDF">
        <w:rPr>
          <w:rStyle w:val="a5"/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«Институт высоких технологий», </w:t>
      </w:r>
      <w:r w:rsidR="00176E23">
        <w:rPr>
          <w:rStyle w:val="a5"/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Калининград</w:t>
      </w:r>
      <w:r w:rsidRPr="009C1BDF">
        <w:rPr>
          <w:rStyle w:val="a5"/>
          <w:rFonts w:eastAsia="Times New Roman" w:cs="Times New Roman"/>
          <w:kern w:val="0"/>
          <w:sz w:val="24"/>
          <w:szCs w:val="24"/>
          <w:lang w:eastAsia="ru-RU"/>
          <w14:ligatures w14:val="none"/>
        </w:rPr>
        <w:t>, Россия</w:t>
      </w:r>
    </w:p>
    <w:p w14:paraId="7F805E42" w14:textId="2E508306" w:rsidR="009A7D58" w:rsidRDefault="00123E1D" w:rsidP="009A7D58">
      <w:pPr>
        <w:pStyle w:val="a3"/>
        <w:spacing w:before="0" w:beforeAutospacing="0" w:after="150" w:afterAutospacing="0"/>
        <w:jc w:val="center"/>
        <w:rPr>
          <w:rStyle w:val="a6"/>
          <w:lang w:val="en-US"/>
        </w:rPr>
      </w:pPr>
      <w:r w:rsidRPr="009C1BDF">
        <w:rPr>
          <w:rStyle w:val="a5"/>
          <w:lang w:val="en-US"/>
        </w:rPr>
        <w:t>E</w:t>
      </w:r>
      <w:r w:rsidRPr="009C1BDF">
        <w:rPr>
          <w:rStyle w:val="a5"/>
        </w:rPr>
        <w:t>–</w:t>
      </w:r>
      <w:r w:rsidRPr="009C1BDF">
        <w:rPr>
          <w:rStyle w:val="a5"/>
          <w:lang w:val="en-US"/>
        </w:rPr>
        <w:t>mail</w:t>
      </w:r>
      <w:r w:rsidRPr="009C1BDF">
        <w:rPr>
          <w:rStyle w:val="a5"/>
        </w:rPr>
        <w:t xml:space="preserve">: </w:t>
      </w:r>
      <w:hyperlink r:id="rId5" w:history="1">
        <w:r w:rsidR="003F5AB5" w:rsidRPr="003B0572">
          <w:rPr>
            <w:rStyle w:val="a6"/>
            <w:lang w:val="en-US"/>
          </w:rPr>
          <w:t>deletednyas</w:t>
        </w:r>
        <w:r w:rsidR="003F5AB5" w:rsidRPr="003B0572">
          <w:rPr>
            <w:rStyle w:val="a6"/>
          </w:rPr>
          <w:t>@</w:t>
        </w:r>
        <w:r w:rsidR="003F5AB5" w:rsidRPr="003B0572">
          <w:rPr>
            <w:rStyle w:val="a6"/>
            <w:lang w:val="en-US"/>
          </w:rPr>
          <w:t>live</w:t>
        </w:r>
        <w:r w:rsidR="003F5AB5" w:rsidRPr="003B0572">
          <w:rPr>
            <w:rStyle w:val="a6"/>
          </w:rPr>
          <w:t>.</w:t>
        </w:r>
        <w:proofErr w:type="spellStart"/>
        <w:r w:rsidR="003F5AB5" w:rsidRPr="003B0572">
          <w:rPr>
            <w:rStyle w:val="a6"/>
            <w:lang w:val="en-US"/>
          </w:rPr>
          <w:t>ru</w:t>
        </w:r>
        <w:proofErr w:type="spellEnd"/>
      </w:hyperlink>
    </w:p>
    <w:p w14:paraId="3AD49ECC" w14:textId="31AC2102" w:rsidR="009A7D58" w:rsidRDefault="009A7D58" w:rsidP="009A7D58">
      <w:pPr>
        <w:pStyle w:val="a3"/>
        <w:spacing w:before="0" w:beforeAutospacing="0" w:after="0" w:afterAutospacing="0"/>
        <w:ind w:firstLine="426"/>
        <w:jc w:val="both"/>
        <w:rPr>
          <w:rStyle w:val="a5"/>
          <w:i w:val="0"/>
          <w:iCs w:val="0"/>
        </w:rPr>
      </w:pPr>
      <w:r w:rsidRPr="009A7D58">
        <w:rPr>
          <w:rStyle w:val="a5"/>
          <w:i w:val="0"/>
          <w:iCs w:val="0"/>
        </w:rPr>
        <w:t xml:space="preserve">В </w:t>
      </w:r>
      <w:r>
        <w:rPr>
          <w:rStyle w:val="a5"/>
          <w:i w:val="0"/>
          <w:iCs w:val="0"/>
        </w:rPr>
        <w:t>научном докладе</w:t>
      </w:r>
      <w:r w:rsidRPr="009A7D58">
        <w:rPr>
          <w:rStyle w:val="a5"/>
          <w:i w:val="0"/>
          <w:iCs w:val="0"/>
        </w:rPr>
        <w:t xml:space="preserve"> представлен метод, позволяющий преобразовать решение нелинейного уравнения </w:t>
      </w:r>
      <w:proofErr w:type="spellStart"/>
      <w:r w:rsidRPr="009A7D58">
        <w:rPr>
          <w:rStyle w:val="a5"/>
          <w:i w:val="0"/>
          <w:iCs w:val="0"/>
        </w:rPr>
        <w:t>Шрёдингера</w:t>
      </w:r>
      <w:proofErr w:type="spellEnd"/>
      <w:r w:rsidRPr="009A7D58">
        <w:rPr>
          <w:rStyle w:val="a5"/>
          <w:i w:val="0"/>
          <w:iCs w:val="0"/>
        </w:rPr>
        <w:t xml:space="preserve"> в решение уравнения Клейна-Гордона с использованием подстановки </w:t>
      </w:r>
      <w:proofErr w:type="spellStart"/>
      <w:r w:rsidRPr="009A7D58">
        <w:rPr>
          <w:rStyle w:val="a5"/>
          <w:i w:val="0"/>
          <w:iCs w:val="0"/>
        </w:rPr>
        <w:t>Тажири</w:t>
      </w:r>
      <w:proofErr w:type="spellEnd"/>
      <w:r w:rsidR="005E4364">
        <w:rPr>
          <w:rStyle w:val="a5"/>
          <w:i w:val="0"/>
          <w:iCs w:val="0"/>
        </w:rPr>
        <w:t xml:space="preserve"> </w:t>
      </w:r>
      <w:r w:rsidR="005E4364" w:rsidRPr="005E4364">
        <w:rPr>
          <w:rStyle w:val="a5"/>
          <w:i w:val="0"/>
          <w:iCs w:val="0"/>
        </w:rPr>
        <w:t>[</w:t>
      </w:r>
      <w:r w:rsidR="002E6EC9" w:rsidRPr="002E6EC9">
        <w:rPr>
          <w:rStyle w:val="a5"/>
          <w:i w:val="0"/>
          <w:iCs w:val="0"/>
        </w:rPr>
        <w:t>3</w:t>
      </w:r>
      <w:r w:rsidR="005E4364" w:rsidRPr="005E4364">
        <w:rPr>
          <w:rStyle w:val="a5"/>
          <w:i w:val="0"/>
          <w:iCs w:val="0"/>
        </w:rPr>
        <w:t>]</w:t>
      </w:r>
      <w:r w:rsidRPr="009A7D58">
        <w:rPr>
          <w:rStyle w:val="a5"/>
          <w:i w:val="0"/>
          <w:iCs w:val="0"/>
        </w:rPr>
        <w:t>. Исследование нелинейных уравнений в физике имеет большое значение, так как они описывают различные физические явления, включая взаимодействие частиц и распространение волн.</w:t>
      </w:r>
    </w:p>
    <w:p w14:paraId="1A1E34E9" w14:textId="77777777" w:rsidR="009A7D58" w:rsidRDefault="009A7D58" w:rsidP="009A7D58">
      <w:pPr>
        <w:pStyle w:val="a3"/>
        <w:spacing w:before="0" w:beforeAutospacing="0" w:after="0" w:afterAutospacing="0"/>
        <w:ind w:firstLine="426"/>
        <w:jc w:val="both"/>
        <w:rPr>
          <w:rStyle w:val="a5"/>
          <w:i w:val="0"/>
          <w:iCs w:val="0"/>
        </w:rPr>
      </w:pPr>
      <w:r w:rsidRPr="009A7D58">
        <w:rPr>
          <w:rStyle w:val="a5"/>
          <w:i w:val="0"/>
          <w:iCs w:val="0"/>
        </w:rPr>
        <w:t xml:space="preserve">В работе рассматривается нелинейное уравнение </w:t>
      </w:r>
      <w:proofErr w:type="spellStart"/>
      <w:r w:rsidRPr="009A7D58">
        <w:rPr>
          <w:rStyle w:val="a5"/>
          <w:i w:val="0"/>
          <w:iCs w:val="0"/>
        </w:rPr>
        <w:t>Шрёдингера</w:t>
      </w:r>
      <w:proofErr w:type="spellEnd"/>
      <w:r w:rsidRPr="009A7D58">
        <w:rPr>
          <w:rStyle w:val="a5"/>
          <w:i w:val="0"/>
          <w:iCs w:val="0"/>
        </w:rPr>
        <w:t>, которое имеет широкое применение в квантовой механике. Однако, с помощью предложенного метода, мы можем привести это уравнение к виду уравнения Клейна-Гордона, которое также является важным в физике элементарных частиц. Уравнение Клейна-Гордона описывает поведение частиц с массой и спином 0.</w:t>
      </w:r>
    </w:p>
    <w:p w14:paraId="673F809E" w14:textId="117919DA" w:rsidR="009A7D58" w:rsidRDefault="009A7D58" w:rsidP="009A7D58">
      <w:pPr>
        <w:pStyle w:val="a3"/>
        <w:spacing w:before="0" w:beforeAutospacing="0" w:after="0" w:afterAutospacing="0"/>
        <w:ind w:firstLine="426"/>
        <w:jc w:val="both"/>
        <w:rPr>
          <w:rStyle w:val="a5"/>
          <w:i w:val="0"/>
          <w:iCs w:val="0"/>
        </w:rPr>
      </w:pPr>
      <w:r w:rsidRPr="009A7D58">
        <w:rPr>
          <w:rStyle w:val="a5"/>
          <w:i w:val="0"/>
          <w:iCs w:val="0"/>
        </w:rPr>
        <w:t xml:space="preserve">Основной инструмент, используемый в данном методе, - подстановка </w:t>
      </w:r>
      <w:proofErr w:type="spellStart"/>
      <w:r w:rsidRPr="009A7D58">
        <w:rPr>
          <w:rStyle w:val="a5"/>
          <w:i w:val="0"/>
          <w:iCs w:val="0"/>
        </w:rPr>
        <w:t>Тажири</w:t>
      </w:r>
      <w:proofErr w:type="spellEnd"/>
      <w:r w:rsidR="005E4364" w:rsidRPr="005E4364">
        <w:rPr>
          <w:rStyle w:val="a5"/>
          <w:i w:val="0"/>
          <w:iCs w:val="0"/>
        </w:rPr>
        <w:t xml:space="preserve"> [</w:t>
      </w:r>
      <w:r w:rsidR="002E6EC9" w:rsidRPr="002E6EC9">
        <w:rPr>
          <w:rStyle w:val="a5"/>
          <w:i w:val="0"/>
          <w:iCs w:val="0"/>
        </w:rPr>
        <w:t>3</w:t>
      </w:r>
      <w:r w:rsidR="005E4364" w:rsidRPr="005E4364">
        <w:rPr>
          <w:rStyle w:val="a5"/>
          <w:i w:val="0"/>
          <w:iCs w:val="0"/>
        </w:rPr>
        <w:t>]</w:t>
      </w:r>
      <w:r w:rsidRPr="009A7D58">
        <w:rPr>
          <w:rStyle w:val="a5"/>
          <w:i w:val="0"/>
          <w:iCs w:val="0"/>
        </w:rPr>
        <w:t xml:space="preserve">. Эта подстановка позволяет связать решения нелинейного уравнения </w:t>
      </w:r>
      <w:proofErr w:type="spellStart"/>
      <w:r w:rsidRPr="009A7D58">
        <w:rPr>
          <w:rStyle w:val="a5"/>
          <w:i w:val="0"/>
          <w:iCs w:val="0"/>
        </w:rPr>
        <w:t>Шрёдингера</w:t>
      </w:r>
      <w:proofErr w:type="spellEnd"/>
      <w:r w:rsidRPr="009A7D58">
        <w:rPr>
          <w:rStyle w:val="a5"/>
          <w:i w:val="0"/>
          <w:iCs w:val="0"/>
        </w:rPr>
        <w:t xml:space="preserve"> с решениями уравнения Клейна-Гордона. </w:t>
      </w:r>
    </w:p>
    <w:p w14:paraId="3B0B6FC3" w14:textId="77777777" w:rsidR="009A7D58" w:rsidRDefault="009A7D58" w:rsidP="009A7D58">
      <w:pPr>
        <w:pStyle w:val="a3"/>
        <w:spacing w:before="0" w:beforeAutospacing="0" w:after="0" w:afterAutospacing="0"/>
        <w:ind w:firstLine="426"/>
        <w:jc w:val="both"/>
        <w:rPr>
          <w:rStyle w:val="a5"/>
          <w:i w:val="0"/>
          <w:iCs w:val="0"/>
        </w:rPr>
      </w:pPr>
      <w:r w:rsidRPr="009A7D58">
        <w:rPr>
          <w:rStyle w:val="a5"/>
          <w:i w:val="0"/>
          <w:iCs w:val="0"/>
        </w:rPr>
        <w:t xml:space="preserve">Одно из интересных свойств нелинейного уравнения Клейна-Гордона заключается в том, что оно имеет два пространственных измерения и одно временное измерение, в отличие от нелинейного уравнения </w:t>
      </w:r>
      <w:proofErr w:type="spellStart"/>
      <w:r w:rsidRPr="009A7D58">
        <w:rPr>
          <w:rStyle w:val="a5"/>
          <w:i w:val="0"/>
          <w:iCs w:val="0"/>
        </w:rPr>
        <w:t>Шрёдингера</w:t>
      </w:r>
      <w:proofErr w:type="spellEnd"/>
      <w:r w:rsidRPr="009A7D58">
        <w:rPr>
          <w:rStyle w:val="a5"/>
          <w:i w:val="0"/>
          <w:iCs w:val="0"/>
        </w:rPr>
        <w:t>, которое имеет только одно пространственное измерение. Это делает уравнение Клейна-Гордона более сложным и богатым с точки зрения физических явлений, которые оно может описывать.</w:t>
      </w:r>
    </w:p>
    <w:p w14:paraId="2C3A706B" w14:textId="60E8E11E" w:rsidR="009A7D58" w:rsidRDefault="009A7D58" w:rsidP="009A7D58">
      <w:pPr>
        <w:pStyle w:val="a3"/>
        <w:spacing w:before="0" w:beforeAutospacing="0" w:after="0" w:afterAutospacing="0"/>
        <w:ind w:firstLine="426"/>
        <w:jc w:val="both"/>
        <w:rPr>
          <w:rStyle w:val="a5"/>
          <w:i w:val="0"/>
          <w:iCs w:val="0"/>
        </w:rPr>
      </w:pPr>
      <w:r w:rsidRPr="009A7D58">
        <w:rPr>
          <w:rStyle w:val="a5"/>
          <w:i w:val="0"/>
          <w:iCs w:val="0"/>
        </w:rPr>
        <w:t xml:space="preserve">Для проверки эффективности предложенного метода были использованы точные решения типа солитон </w:t>
      </w:r>
      <w:proofErr w:type="spellStart"/>
      <w:r w:rsidRPr="009A7D58">
        <w:rPr>
          <w:rStyle w:val="a5"/>
          <w:i w:val="0"/>
          <w:iCs w:val="0"/>
        </w:rPr>
        <w:t>Перегрина</w:t>
      </w:r>
      <w:proofErr w:type="spellEnd"/>
      <w:r w:rsidRPr="009A7D58">
        <w:rPr>
          <w:rStyle w:val="a5"/>
          <w:i w:val="0"/>
          <w:iCs w:val="0"/>
        </w:rPr>
        <w:t xml:space="preserve">, полученные из нелинейного уравнения </w:t>
      </w:r>
      <w:proofErr w:type="spellStart"/>
      <w:r w:rsidRPr="009A7D58">
        <w:rPr>
          <w:rStyle w:val="a5"/>
          <w:i w:val="0"/>
          <w:iCs w:val="0"/>
        </w:rPr>
        <w:t>Шрёдингера</w:t>
      </w:r>
      <w:proofErr w:type="spellEnd"/>
      <w:r w:rsidR="005E4364" w:rsidRPr="005E4364">
        <w:rPr>
          <w:rStyle w:val="a5"/>
          <w:i w:val="0"/>
          <w:iCs w:val="0"/>
        </w:rPr>
        <w:t xml:space="preserve"> [2]</w:t>
      </w:r>
      <w:r w:rsidRPr="009A7D58">
        <w:rPr>
          <w:rStyle w:val="a5"/>
          <w:i w:val="0"/>
          <w:iCs w:val="0"/>
        </w:rPr>
        <w:t xml:space="preserve">. С помощью обобщенной подстановки </w:t>
      </w:r>
      <w:proofErr w:type="spellStart"/>
      <w:r w:rsidRPr="009A7D58">
        <w:rPr>
          <w:rStyle w:val="a5"/>
          <w:i w:val="0"/>
          <w:iCs w:val="0"/>
        </w:rPr>
        <w:t>Тажири</w:t>
      </w:r>
      <w:proofErr w:type="spellEnd"/>
      <w:r w:rsidRPr="009A7D58">
        <w:rPr>
          <w:rStyle w:val="a5"/>
          <w:i w:val="0"/>
          <w:iCs w:val="0"/>
        </w:rPr>
        <w:t xml:space="preserve"> эти решения были преобразованы в решения уравнения Клейна-Гордона. Солитон </w:t>
      </w:r>
      <w:proofErr w:type="spellStart"/>
      <w:r w:rsidRPr="009A7D58">
        <w:rPr>
          <w:rStyle w:val="a5"/>
          <w:i w:val="0"/>
          <w:iCs w:val="0"/>
        </w:rPr>
        <w:t>Перегрина</w:t>
      </w:r>
      <w:proofErr w:type="spellEnd"/>
      <w:r w:rsidRPr="009A7D58">
        <w:rPr>
          <w:rStyle w:val="a5"/>
          <w:i w:val="0"/>
          <w:iCs w:val="0"/>
        </w:rPr>
        <w:t xml:space="preserve"> представляет собой локализованную волну, которая возникает и исчезает в процессе своего движения</w:t>
      </w:r>
      <w:r w:rsidR="005E4364" w:rsidRPr="005E4364">
        <w:rPr>
          <w:rStyle w:val="a5"/>
          <w:i w:val="0"/>
          <w:iCs w:val="0"/>
        </w:rPr>
        <w:t xml:space="preserve"> [</w:t>
      </w:r>
      <w:r w:rsidR="002E6EC9" w:rsidRPr="002E6EC9">
        <w:rPr>
          <w:rStyle w:val="a5"/>
          <w:i w:val="0"/>
          <w:iCs w:val="0"/>
        </w:rPr>
        <w:t>1</w:t>
      </w:r>
      <w:r w:rsidR="005E4364" w:rsidRPr="002E6EC9">
        <w:rPr>
          <w:rStyle w:val="a5"/>
          <w:i w:val="0"/>
          <w:iCs w:val="0"/>
        </w:rPr>
        <w:t>]</w:t>
      </w:r>
      <w:r w:rsidRPr="009A7D58">
        <w:rPr>
          <w:rStyle w:val="a5"/>
          <w:i w:val="0"/>
          <w:iCs w:val="0"/>
        </w:rPr>
        <w:t>.</w:t>
      </w:r>
    </w:p>
    <w:p w14:paraId="0F6E0A60" w14:textId="77777777" w:rsidR="009A7D58" w:rsidRDefault="009A7D58" w:rsidP="009A7D58">
      <w:pPr>
        <w:pStyle w:val="a3"/>
        <w:spacing w:before="0" w:beforeAutospacing="0" w:after="0" w:afterAutospacing="0"/>
        <w:ind w:firstLine="426"/>
        <w:jc w:val="both"/>
        <w:rPr>
          <w:rStyle w:val="a5"/>
          <w:i w:val="0"/>
          <w:iCs w:val="0"/>
        </w:rPr>
      </w:pPr>
      <w:r w:rsidRPr="009A7D58">
        <w:rPr>
          <w:rStyle w:val="a5"/>
          <w:i w:val="0"/>
          <w:iCs w:val="0"/>
        </w:rPr>
        <w:t>В результате применения предложенного метода удалось смоделировать локализованные солитоны, то есть решения уравнения Клейна-Гордона, которые имеют локализованную форму и сохраняют свою структуру в процессе движения и распространения. Была проведена детальная аналитическая и численная оценка динамики движения и распространения солитонов, что позволило получить новые результаты и глубже понять их свойства.</w:t>
      </w:r>
    </w:p>
    <w:p w14:paraId="2F04E662" w14:textId="77777777" w:rsidR="002E6EC9" w:rsidRDefault="002E6EC9" w:rsidP="009A7D58">
      <w:pPr>
        <w:pStyle w:val="a3"/>
        <w:spacing w:before="0" w:beforeAutospacing="0" w:after="0" w:afterAutospacing="0"/>
        <w:ind w:firstLine="426"/>
        <w:jc w:val="both"/>
        <w:rPr>
          <w:rStyle w:val="a5"/>
          <w:i w:val="0"/>
          <w:iCs w:val="0"/>
        </w:rPr>
      </w:pPr>
    </w:p>
    <w:p w14:paraId="6ECE24F7" w14:textId="286FCB85" w:rsidR="009A7D58" w:rsidRDefault="009A7D58" w:rsidP="009A7D58">
      <w:pPr>
        <w:pStyle w:val="a3"/>
        <w:spacing w:before="0" w:beforeAutospacing="0" w:after="0" w:afterAutospacing="0"/>
        <w:ind w:firstLine="426"/>
        <w:jc w:val="center"/>
        <w:rPr>
          <w:rStyle w:val="a5"/>
          <w:i w:val="0"/>
          <w:iCs w:val="0"/>
        </w:rPr>
      </w:pPr>
      <w:r>
        <w:rPr>
          <w:noProof/>
          <w:color w:val="000000"/>
        </w:rPr>
        <w:drawing>
          <wp:inline distT="0" distB="0" distL="0" distR="0" wp14:anchorId="63DF7CF7" wp14:editId="6DE171B8">
            <wp:extent cx="1904215" cy="1812944"/>
            <wp:effectExtent l="0" t="0" r="1270" b="0"/>
            <wp:docPr id="1002995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889" cy="182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EADAD" w14:textId="71221551" w:rsidR="009A7D58" w:rsidRPr="002E6EC9" w:rsidRDefault="002E6EC9" w:rsidP="002E6EC9">
      <w:pPr>
        <w:pStyle w:val="a3"/>
        <w:spacing w:before="0" w:beforeAutospacing="0" w:after="0" w:afterAutospacing="0"/>
        <w:ind w:firstLine="426"/>
        <w:jc w:val="center"/>
        <w:rPr>
          <w:rStyle w:val="a5"/>
          <w:i w:val="0"/>
          <w:iCs w:val="0"/>
          <w:sz w:val="22"/>
          <w:szCs w:val="22"/>
        </w:rPr>
      </w:pPr>
      <w:r w:rsidRPr="002E6EC9">
        <w:rPr>
          <w:rStyle w:val="a5"/>
          <w:b/>
          <w:bCs/>
          <w:i w:val="0"/>
          <w:iCs w:val="0"/>
          <w:sz w:val="22"/>
          <w:szCs w:val="22"/>
        </w:rPr>
        <w:t>Рис.1.</w:t>
      </w:r>
      <w:r>
        <w:rPr>
          <w:rStyle w:val="a5"/>
          <w:i w:val="0"/>
          <w:iCs w:val="0"/>
          <w:sz w:val="22"/>
          <w:szCs w:val="22"/>
        </w:rPr>
        <w:t xml:space="preserve"> Л</w:t>
      </w:r>
      <w:r w:rsidRPr="002E6EC9">
        <w:rPr>
          <w:rStyle w:val="a5"/>
          <w:i w:val="0"/>
          <w:iCs w:val="0"/>
          <w:sz w:val="22"/>
          <w:szCs w:val="22"/>
        </w:rPr>
        <w:t>окальный солитон нелинейного уравнения Клейна-Гордона</w:t>
      </w:r>
    </w:p>
    <w:p w14:paraId="49B7931C" w14:textId="77777777" w:rsidR="002E6EC9" w:rsidRDefault="002E6EC9" w:rsidP="009A7D58">
      <w:pPr>
        <w:pStyle w:val="a3"/>
        <w:spacing w:before="0" w:beforeAutospacing="0" w:after="0" w:afterAutospacing="0"/>
        <w:ind w:firstLine="426"/>
        <w:jc w:val="both"/>
        <w:rPr>
          <w:rStyle w:val="a5"/>
          <w:i w:val="0"/>
          <w:iCs w:val="0"/>
        </w:rPr>
      </w:pPr>
    </w:p>
    <w:p w14:paraId="62D470C3" w14:textId="0AF6C8FA" w:rsidR="002E6EC9" w:rsidRPr="002E6EC9" w:rsidRDefault="009A7D58" w:rsidP="002E6EC9">
      <w:pPr>
        <w:pStyle w:val="a3"/>
        <w:spacing w:before="0" w:beforeAutospacing="0" w:after="0" w:afterAutospacing="0"/>
        <w:ind w:firstLine="426"/>
        <w:jc w:val="both"/>
      </w:pPr>
      <w:r w:rsidRPr="009A7D58">
        <w:rPr>
          <w:rStyle w:val="a5"/>
          <w:i w:val="0"/>
          <w:iCs w:val="0"/>
        </w:rPr>
        <w:t xml:space="preserve">В заключение, предложенный метод преобразования решения нелинейного уравнения </w:t>
      </w:r>
      <w:proofErr w:type="spellStart"/>
      <w:r w:rsidRPr="009A7D58">
        <w:rPr>
          <w:rStyle w:val="a5"/>
          <w:i w:val="0"/>
          <w:iCs w:val="0"/>
        </w:rPr>
        <w:t>Шрёдингера</w:t>
      </w:r>
      <w:proofErr w:type="spellEnd"/>
      <w:r w:rsidRPr="009A7D58">
        <w:rPr>
          <w:rStyle w:val="a5"/>
          <w:i w:val="0"/>
          <w:iCs w:val="0"/>
        </w:rPr>
        <w:t xml:space="preserve"> в решение уравнения Клейна-Гордона с использованием </w:t>
      </w:r>
      <w:r w:rsidRPr="009A7D58">
        <w:rPr>
          <w:rStyle w:val="a5"/>
          <w:i w:val="0"/>
          <w:iCs w:val="0"/>
        </w:rPr>
        <w:lastRenderedPageBreak/>
        <w:t xml:space="preserve">подстановки </w:t>
      </w:r>
      <w:proofErr w:type="spellStart"/>
      <w:r w:rsidRPr="009A7D58">
        <w:rPr>
          <w:rStyle w:val="a5"/>
          <w:i w:val="0"/>
          <w:iCs w:val="0"/>
        </w:rPr>
        <w:t>Тажири</w:t>
      </w:r>
      <w:proofErr w:type="spellEnd"/>
      <w:r w:rsidRPr="009A7D58">
        <w:rPr>
          <w:rStyle w:val="a5"/>
          <w:i w:val="0"/>
          <w:iCs w:val="0"/>
        </w:rPr>
        <w:t xml:space="preserve"> является эффективным инструментом для исследования нелинейных уравнений в физике. Полученные результаты позволяют лучше понять поведение солитонов и их динамику, что может иметь практическое применение в различных областях физики и инженерии.</w:t>
      </w:r>
    </w:p>
    <w:p w14:paraId="7788466A" w14:textId="45B2D6DC" w:rsidR="002E6EC9" w:rsidRPr="002E6EC9" w:rsidRDefault="00123E1D" w:rsidP="002E6EC9">
      <w:pPr>
        <w:pStyle w:val="a3"/>
        <w:shd w:val="clear" w:color="auto" w:fill="FFFFFF"/>
        <w:spacing w:before="240" w:beforeAutospacing="0" w:after="0" w:afterAutospacing="0"/>
        <w:jc w:val="center"/>
        <w:rPr>
          <w:color w:val="353535"/>
        </w:rPr>
      </w:pPr>
      <w:r w:rsidRPr="00123E1D">
        <w:rPr>
          <w:rStyle w:val="a4"/>
          <w:color w:val="353535"/>
        </w:rPr>
        <w:t>Литература</w:t>
      </w:r>
    </w:p>
    <w:p w14:paraId="42024399" w14:textId="77777777" w:rsidR="002E6EC9" w:rsidRPr="002E6EC9" w:rsidRDefault="002E6EC9" w:rsidP="002E6E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53535"/>
          <w:lang w:val="en-US"/>
        </w:rPr>
      </w:pPr>
      <w:r w:rsidRPr="009A7D58">
        <w:rPr>
          <w:lang w:val="en-US"/>
        </w:rPr>
        <w:t xml:space="preserve">Dubard, P.; Gaillard, P.; Klein, C.; Matveev, V. On multi-rogue wave solutions of the NLS equation and </w:t>
      </w:r>
      <w:proofErr w:type="spellStart"/>
      <w:r w:rsidRPr="009A7D58">
        <w:rPr>
          <w:lang w:val="en-US"/>
        </w:rPr>
        <w:t>positon</w:t>
      </w:r>
      <w:proofErr w:type="spellEnd"/>
      <w:r w:rsidRPr="009A7D58">
        <w:rPr>
          <w:lang w:val="en-US"/>
        </w:rPr>
        <w:t xml:space="preserve"> solutions of the </w:t>
      </w:r>
      <w:proofErr w:type="spellStart"/>
      <w:r w:rsidRPr="009A7D58">
        <w:rPr>
          <w:lang w:val="en-US"/>
        </w:rPr>
        <w:t>KdV</w:t>
      </w:r>
      <w:proofErr w:type="spellEnd"/>
      <w:r w:rsidRPr="009A7D58">
        <w:rPr>
          <w:lang w:val="en-US"/>
        </w:rPr>
        <w:t xml:space="preserve"> equation. </w:t>
      </w:r>
      <w:r w:rsidRPr="002E6EC9">
        <w:rPr>
          <w:lang w:val="en-US"/>
        </w:rPr>
        <w:t>Eur. Phys. J. Spec. Top. 2010, 185, 247–258.</w:t>
      </w:r>
    </w:p>
    <w:p w14:paraId="0DE80116" w14:textId="243968B1" w:rsidR="009A7D58" w:rsidRPr="002E6EC9" w:rsidRDefault="009A7D58" w:rsidP="002E6E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53535"/>
        </w:rPr>
      </w:pPr>
      <w:r w:rsidRPr="009A7D58">
        <w:rPr>
          <w:lang w:val="en-US"/>
        </w:rPr>
        <w:t xml:space="preserve">Matveev, V.B. </w:t>
      </w:r>
      <w:proofErr w:type="spellStart"/>
      <w:r w:rsidRPr="009A7D58">
        <w:rPr>
          <w:lang w:val="en-US"/>
        </w:rPr>
        <w:t>Positon-positon</w:t>
      </w:r>
      <w:proofErr w:type="spellEnd"/>
      <w:r w:rsidRPr="009A7D58">
        <w:rPr>
          <w:lang w:val="en-US"/>
        </w:rPr>
        <w:t xml:space="preserve"> and soliton-</w:t>
      </w:r>
      <w:proofErr w:type="spellStart"/>
      <w:r w:rsidRPr="009A7D58">
        <w:rPr>
          <w:lang w:val="en-US"/>
        </w:rPr>
        <w:t>positon</w:t>
      </w:r>
      <w:proofErr w:type="spellEnd"/>
      <w:r w:rsidRPr="009A7D58">
        <w:rPr>
          <w:lang w:val="en-US"/>
        </w:rPr>
        <w:t xml:space="preserve"> collisions: </w:t>
      </w:r>
      <w:proofErr w:type="spellStart"/>
      <w:r w:rsidRPr="009A7D58">
        <w:rPr>
          <w:lang w:val="en-US"/>
        </w:rPr>
        <w:t>KdV</w:t>
      </w:r>
      <w:proofErr w:type="spellEnd"/>
      <w:r w:rsidRPr="009A7D58">
        <w:rPr>
          <w:lang w:val="en-US"/>
        </w:rPr>
        <w:t xml:space="preserve"> case. </w:t>
      </w:r>
      <w:proofErr w:type="spellStart"/>
      <w:r>
        <w:t>Phys</w:t>
      </w:r>
      <w:proofErr w:type="spellEnd"/>
      <w:r>
        <w:t>. Le</w:t>
      </w:r>
      <w:proofErr w:type="spellStart"/>
      <w:r>
        <w:t>tt</w:t>
      </w:r>
      <w:proofErr w:type="spellEnd"/>
      <w:r>
        <w:t>. A 1992, 166, 209–212.</w:t>
      </w:r>
    </w:p>
    <w:p w14:paraId="4246D611" w14:textId="7D756FC7" w:rsidR="002E6EC9" w:rsidRPr="002E6EC9" w:rsidRDefault="002E6EC9" w:rsidP="002E6E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53535"/>
          <w:lang w:val="en-US"/>
        </w:rPr>
      </w:pPr>
      <w:r w:rsidRPr="009A7D58">
        <w:rPr>
          <w:lang w:val="en-US"/>
        </w:rPr>
        <w:t xml:space="preserve">Tajiri, M. On Soliton Solutions of the Nonlinear Coupled Klein-Gordon Equation. </w:t>
      </w:r>
      <w:r w:rsidRPr="002E6EC9">
        <w:rPr>
          <w:lang w:val="en-US"/>
        </w:rPr>
        <w:t xml:space="preserve">J. Phys. Soc. </w:t>
      </w:r>
      <w:proofErr w:type="spellStart"/>
      <w:r w:rsidRPr="002E6EC9">
        <w:rPr>
          <w:lang w:val="en-US"/>
        </w:rPr>
        <w:t>Jpn</w:t>
      </w:r>
      <w:proofErr w:type="spellEnd"/>
      <w:r w:rsidRPr="002E6EC9">
        <w:rPr>
          <w:lang w:val="en-US"/>
        </w:rPr>
        <w:t>. 1983, 52, 3722–3726.</w:t>
      </w:r>
    </w:p>
    <w:sectPr w:rsidR="002E6EC9" w:rsidRPr="002E6EC9" w:rsidSect="001B3C8C">
      <w:pgSz w:w="11906" w:h="16838" w:code="9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86457"/>
    <w:multiLevelType w:val="multilevel"/>
    <w:tmpl w:val="793C9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1F5997"/>
    <w:multiLevelType w:val="multilevel"/>
    <w:tmpl w:val="793C9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2222700">
    <w:abstractNumId w:val="0"/>
  </w:num>
  <w:num w:numId="2" w16cid:durableId="966088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1D"/>
    <w:rsid w:val="00044B8E"/>
    <w:rsid w:val="000C3B1F"/>
    <w:rsid w:val="000C5EAD"/>
    <w:rsid w:val="00123E1D"/>
    <w:rsid w:val="00176E23"/>
    <w:rsid w:val="001B3C8C"/>
    <w:rsid w:val="001E0159"/>
    <w:rsid w:val="002E6EC9"/>
    <w:rsid w:val="003A1F2E"/>
    <w:rsid w:val="003F5AB5"/>
    <w:rsid w:val="0043549B"/>
    <w:rsid w:val="005E4364"/>
    <w:rsid w:val="00624E71"/>
    <w:rsid w:val="006C0B77"/>
    <w:rsid w:val="006C5B95"/>
    <w:rsid w:val="007140FE"/>
    <w:rsid w:val="008242FF"/>
    <w:rsid w:val="00830402"/>
    <w:rsid w:val="00870751"/>
    <w:rsid w:val="00922C48"/>
    <w:rsid w:val="009A7D58"/>
    <w:rsid w:val="009C1BDF"/>
    <w:rsid w:val="00A20DEB"/>
    <w:rsid w:val="00B73DB1"/>
    <w:rsid w:val="00B915B7"/>
    <w:rsid w:val="00C04C1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E9A5"/>
  <w15:chartTrackingRefBased/>
  <w15:docId w15:val="{D02E1D4A-E3C2-41EE-9042-CC905693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3E1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123E1D"/>
    <w:rPr>
      <w:b/>
      <w:bCs/>
    </w:rPr>
  </w:style>
  <w:style w:type="character" w:styleId="a5">
    <w:name w:val="Emphasis"/>
    <w:basedOn w:val="a0"/>
    <w:uiPriority w:val="20"/>
    <w:qFormat/>
    <w:rsid w:val="00123E1D"/>
    <w:rPr>
      <w:i/>
      <w:iCs/>
    </w:rPr>
  </w:style>
  <w:style w:type="character" w:styleId="a6">
    <w:name w:val="Hyperlink"/>
    <w:basedOn w:val="a0"/>
    <w:uiPriority w:val="99"/>
    <w:unhideWhenUsed/>
    <w:rsid w:val="003F5AB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F5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deletednyas@liv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</dc:creator>
  <cp:keywords/>
  <dc:description/>
  <cp:lastModifiedBy>Артем Трунин</cp:lastModifiedBy>
  <cp:revision>17</cp:revision>
  <dcterms:created xsi:type="dcterms:W3CDTF">2024-02-27T09:49:00Z</dcterms:created>
  <dcterms:modified xsi:type="dcterms:W3CDTF">2024-02-29T15:18:00Z</dcterms:modified>
</cp:coreProperties>
</file>