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F8070" w14:textId="77777777" w:rsidR="00813C9E" w:rsidRPr="00FF05B2" w:rsidRDefault="00F66477" w:rsidP="00011E41">
      <w:pPr>
        <w:ind w:firstLine="426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Сравнение методов предварительной обработки временных рядов</w:t>
      </w:r>
    </w:p>
    <w:p w14:paraId="386F2F91" w14:textId="77777777" w:rsidR="00BC53DF" w:rsidRPr="00BC53DF" w:rsidRDefault="00A34436" w:rsidP="00BC53DF">
      <w:pPr>
        <w:ind w:firstLine="426"/>
        <w:jc w:val="center"/>
        <w:rPr>
          <w:b/>
          <w:i/>
        </w:rPr>
      </w:pPr>
      <w:r>
        <w:rPr>
          <w:rStyle w:val="a5"/>
          <w:b/>
          <w:bCs/>
          <w:color w:val="000000"/>
          <w:shd w:val="clear" w:color="auto" w:fill="FFFFFF"/>
        </w:rPr>
        <w:t>Макеев Д.А</w:t>
      </w:r>
      <w:r w:rsidR="00BC53DF" w:rsidRPr="00BC53DF">
        <w:rPr>
          <w:rStyle w:val="a5"/>
          <w:b/>
          <w:bCs/>
          <w:color w:val="000000"/>
          <w:shd w:val="clear" w:color="auto" w:fill="FFFFFF"/>
        </w:rPr>
        <w:t>.</w:t>
      </w:r>
      <w:r w:rsidR="00BC53DF" w:rsidRPr="00BC53DF">
        <w:rPr>
          <w:rStyle w:val="a5"/>
          <w:b/>
          <w:bCs/>
          <w:i w:val="0"/>
          <w:color w:val="000000"/>
          <w:shd w:val="clear" w:color="auto" w:fill="FFFFFF"/>
          <w:vertAlign w:val="superscript"/>
        </w:rPr>
        <w:t>1</w:t>
      </w:r>
    </w:p>
    <w:p w14:paraId="1C809037" w14:textId="77777777" w:rsidR="00B60661" w:rsidRDefault="00BC53DF" w:rsidP="00011E41">
      <w:pPr>
        <w:ind w:firstLine="426"/>
        <w:jc w:val="center"/>
        <w:rPr>
          <w:rStyle w:val="a5"/>
          <w:color w:val="000000"/>
          <w:shd w:val="clear" w:color="auto" w:fill="FFFFFF"/>
        </w:rPr>
      </w:pPr>
      <w:r w:rsidRPr="00BC53DF">
        <w:rPr>
          <w:rStyle w:val="a5"/>
          <w:bCs/>
          <w:i w:val="0"/>
          <w:color w:val="000000"/>
          <w:shd w:val="clear" w:color="auto" w:fill="FFFFFF"/>
          <w:vertAlign w:val="superscript"/>
        </w:rPr>
        <w:t>1</w:t>
      </w:r>
      <w:r w:rsidR="003A7D50">
        <w:rPr>
          <w:rStyle w:val="a5"/>
          <w:color w:val="000000"/>
          <w:shd w:val="clear" w:color="auto" w:fill="FFFFFF"/>
        </w:rPr>
        <w:t>с</w:t>
      </w:r>
      <w:r w:rsidRPr="00BC53DF">
        <w:rPr>
          <w:rStyle w:val="a5"/>
          <w:color w:val="000000"/>
          <w:shd w:val="clear" w:color="auto" w:fill="FFFFFF"/>
        </w:rPr>
        <w:t>тудент</w:t>
      </w:r>
    </w:p>
    <w:p w14:paraId="0B294CD9" w14:textId="77777777" w:rsidR="003C665C" w:rsidRPr="00806F3C" w:rsidRDefault="00145725" w:rsidP="00011E41">
      <w:pPr>
        <w:spacing w:after="200"/>
        <w:ind w:firstLine="426"/>
        <w:jc w:val="center"/>
        <w:rPr>
          <w:rStyle w:val="a5"/>
          <w:color w:val="000000"/>
          <w:shd w:val="clear" w:color="auto" w:fill="FFFFFF"/>
        </w:rPr>
      </w:pPr>
      <w:r w:rsidRPr="00145725">
        <w:rPr>
          <w:rStyle w:val="a5"/>
          <w:color w:val="000000"/>
          <w:shd w:val="clear" w:color="auto" w:fill="FFFFFF"/>
        </w:rPr>
        <w:t xml:space="preserve">Московский государственный университет имени </w:t>
      </w:r>
      <w:proofErr w:type="spellStart"/>
      <w:r w:rsidRPr="00145725">
        <w:rPr>
          <w:rStyle w:val="a5"/>
          <w:color w:val="000000"/>
          <w:shd w:val="clear" w:color="auto" w:fill="FFFFFF"/>
        </w:rPr>
        <w:t>М.В.Ломоносова</w:t>
      </w:r>
      <w:proofErr w:type="spellEnd"/>
      <w:r w:rsidRPr="00145725">
        <w:rPr>
          <w:rStyle w:val="a5"/>
          <w:color w:val="000000"/>
          <w:shd w:val="clear" w:color="auto" w:fill="FFFFFF"/>
        </w:rPr>
        <w:t>,</w:t>
      </w:r>
      <w:r w:rsidRPr="00145725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45725">
        <w:rPr>
          <w:i/>
          <w:iCs/>
          <w:color w:val="000000"/>
          <w:shd w:val="clear" w:color="auto" w:fill="FFFFFF"/>
        </w:rPr>
        <w:br/>
      </w:r>
      <w:r>
        <w:rPr>
          <w:rStyle w:val="a5"/>
          <w:color w:val="000000"/>
          <w:shd w:val="clear" w:color="auto" w:fill="FFFFFF"/>
        </w:rPr>
        <w:t>физический факультет</w:t>
      </w:r>
      <w:r w:rsidRPr="00145725">
        <w:rPr>
          <w:rStyle w:val="a5"/>
          <w:color w:val="000000"/>
          <w:shd w:val="clear" w:color="auto" w:fill="FFFFFF"/>
        </w:rPr>
        <w:t>, Москва, Россия</w:t>
      </w:r>
      <w:r w:rsidRPr="00145725">
        <w:rPr>
          <w:i/>
          <w:iCs/>
          <w:color w:val="000000"/>
          <w:shd w:val="clear" w:color="auto" w:fill="FFFFFF"/>
        </w:rPr>
        <w:br/>
      </w:r>
      <w:r w:rsidRPr="00145725">
        <w:rPr>
          <w:rStyle w:val="a5"/>
          <w:color w:val="000000"/>
          <w:shd w:val="clear" w:color="auto" w:fill="FFFFFF"/>
        </w:rPr>
        <w:t>E–</w:t>
      </w:r>
      <w:proofErr w:type="spellStart"/>
      <w:r w:rsidRPr="00145725">
        <w:rPr>
          <w:rStyle w:val="a5"/>
          <w:color w:val="000000"/>
          <w:shd w:val="clear" w:color="auto" w:fill="FFFFFF"/>
        </w:rPr>
        <w:t>mail</w:t>
      </w:r>
      <w:proofErr w:type="spellEnd"/>
      <w:r w:rsidRPr="00082FB2">
        <w:rPr>
          <w:rStyle w:val="a5"/>
          <w:i w:val="0"/>
          <w:color w:val="000000"/>
          <w:shd w:val="clear" w:color="auto" w:fill="FFFFFF"/>
        </w:rPr>
        <w:t xml:space="preserve">: </w:t>
      </w:r>
      <w:hyperlink r:id="rId7" w:history="1">
        <w:r w:rsidR="00806F3C" w:rsidRPr="00806F3C">
          <w:rPr>
            <w:rStyle w:val="a6"/>
            <w:i/>
            <w:iCs/>
            <w:shd w:val="clear" w:color="auto" w:fill="FFFFFF"/>
            <w:lang w:val="en-US"/>
          </w:rPr>
          <w:t>makeev</w:t>
        </w:r>
        <w:r w:rsidR="00806F3C" w:rsidRPr="00806F3C">
          <w:rPr>
            <w:rStyle w:val="a6"/>
            <w:i/>
            <w:iCs/>
            <w:shd w:val="clear" w:color="auto" w:fill="FFFFFF"/>
          </w:rPr>
          <w:t>.</w:t>
        </w:r>
        <w:r w:rsidR="00806F3C" w:rsidRPr="00806F3C">
          <w:rPr>
            <w:rStyle w:val="a6"/>
            <w:i/>
            <w:iCs/>
            <w:shd w:val="clear" w:color="auto" w:fill="FFFFFF"/>
            <w:lang w:val="en-US"/>
          </w:rPr>
          <w:t>da</w:t>
        </w:r>
        <w:r w:rsidR="00806F3C" w:rsidRPr="00806F3C">
          <w:rPr>
            <w:rStyle w:val="a6"/>
            <w:i/>
            <w:iCs/>
            <w:shd w:val="clear" w:color="auto" w:fill="FFFFFF"/>
          </w:rPr>
          <w:t>21@</w:t>
        </w:r>
        <w:r w:rsidR="00806F3C" w:rsidRPr="00806F3C">
          <w:rPr>
            <w:rStyle w:val="a6"/>
            <w:i/>
            <w:iCs/>
            <w:shd w:val="clear" w:color="auto" w:fill="FFFFFF"/>
            <w:lang w:val="en-US"/>
          </w:rPr>
          <w:t>physics</w:t>
        </w:r>
        <w:r w:rsidR="00806F3C" w:rsidRPr="00806F3C">
          <w:rPr>
            <w:rStyle w:val="a6"/>
            <w:i/>
            <w:iCs/>
            <w:shd w:val="clear" w:color="auto" w:fill="FFFFFF"/>
          </w:rPr>
          <w:t>.</w:t>
        </w:r>
        <w:r w:rsidR="00806F3C" w:rsidRPr="00806F3C">
          <w:rPr>
            <w:rStyle w:val="a6"/>
            <w:i/>
            <w:iCs/>
            <w:shd w:val="clear" w:color="auto" w:fill="FFFFFF"/>
            <w:lang w:val="en-US"/>
          </w:rPr>
          <w:t>msu</w:t>
        </w:r>
        <w:r w:rsidR="00806F3C" w:rsidRPr="00806F3C">
          <w:rPr>
            <w:rStyle w:val="a6"/>
            <w:i/>
            <w:iCs/>
            <w:shd w:val="clear" w:color="auto" w:fill="FFFFFF"/>
          </w:rPr>
          <w:t>.</w:t>
        </w:r>
        <w:proofErr w:type="spellStart"/>
        <w:r w:rsidR="00806F3C" w:rsidRPr="00806F3C">
          <w:rPr>
            <w:rStyle w:val="a6"/>
            <w:i/>
            <w:iCs/>
            <w:shd w:val="clear" w:color="auto" w:fill="FFFFFF"/>
            <w:lang w:val="en-US"/>
          </w:rPr>
          <w:t>ru</w:t>
        </w:r>
        <w:proofErr w:type="spellEnd"/>
      </w:hyperlink>
    </w:p>
    <w:p w14:paraId="4A75E385" w14:textId="77777777" w:rsidR="008D06FE" w:rsidRDefault="00E128E9" w:rsidP="008D06FE">
      <w:pPr>
        <w:spacing w:line="276" w:lineRule="auto"/>
        <w:ind w:firstLine="397"/>
        <w:jc w:val="both"/>
      </w:pPr>
      <w:r>
        <w:t>В настоящее время остро стоит вопрос контроля процесса изменения климата, порождающий множество вторичных задач: сбор данных, проверка их на валидность, дальнейшая обработка входного набора параметров [1].</w:t>
      </w:r>
      <w:r w:rsidR="003276BC" w:rsidRPr="003276BC">
        <w:t xml:space="preserve"> </w:t>
      </w:r>
      <w:r w:rsidR="003276BC">
        <w:t>Так как</w:t>
      </w:r>
      <w:r w:rsidR="00FC7BBF">
        <w:t xml:space="preserve"> точное</w:t>
      </w:r>
      <w:r w:rsidR="003276BC">
        <w:t xml:space="preserve"> измерение</w:t>
      </w:r>
      <w:r w:rsidR="00FC7BBF">
        <w:t xml:space="preserve"> физической величины</w:t>
      </w:r>
      <w:r w:rsidR="003276BC">
        <w:t xml:space="preserve"> </w:t>
      </w:r>
      <w:r w:rsidR="00FC7BBF">
        <w:t xml:space="preserve">невозможно в силу конструкционных особенностей </w:t>
      </w:r>
      <w:r w:rsidR="00FC7BBF" w:rsidRPr="00E519BA">
        <w:t>измерительной аппаратуры, получаемые в результате данные помимо</w:t>
      </w:r>
      <w:r w:rsidR="00FC7BBF">
        <w:t xml:space="preserve"> полезной информации содержат в себе шумовые компоненты. В данной работе</w:t>
      </w:r>
      <w:r w:rsidR="008D06FE">
        <w:t xml:space="preserve"> </w:t>
      </w:r>
      <w:r w:rsidR="00E519BA" w:rsidRPr="00E519BA">
        <w:t>рассматриваются</w:t>
      </w:r>
      <w:r w:rsidR="008D06FE">
        <w:t xml:space="preserve"> </w:t>
      </w:r>
      <w:r w:rsidR="00E519BA" w:rsidRPr="00E519BA">
        <w:t>методы</w:t>
      </w:r>
      <w:r w:rsidR="00E519BA">
        <w:t xml:space="preserve"> </w:t>
      </w:r>
      <w:r w:rsidR="008D06FE">
        <w:t>очистки данных</w:t>
      </w:r>
      <w:r w:rsidR="00657CBD">
        <w:t>.</w:t>
      </w:r>
    </w:p>
    <w:p w14:paraId="27A6321F" w14:textId="77777777" w:rsidR="00013954" w:rsidRDefault="008D06FE" w:rsidP="00013954">
      <w:pPr>
        <w:spacing w:line="276" w:lineRule="auto"/>
        <w:ind w:firstLine="397"/>
        <w:jc w:val="both"/>
      </w:pPr>
      <w:r>
        <w:t>Сравнительный анализ проводился на искусственно сгенерированном временном ряде</w:t>
      </w:r>
      <w:r w:rsidR="00691612" w:rsidRPr="00691612">
        <w:t>,</w:t>
      </w:r>
      <w:r w:rsidR="00657CBD">
        <w:t xml:space="preserve"> описываемо</w:t>
      </w:r>
      <w:r w:rsidR="00E519BA" w:rsidRPr="00E519BA">
        <w:t>м</w:t>
      </w:r>
      <w:r w:rsidR="00657CBD">
        <w:t xml:space="preserve"> у</w:t>
      </w:r>
      <w:r>
        <w:t>равнение</w:t>
      </w:r>
      <w:r w:rsidR="00657CBD">
        <w:t>м</w:t>
      </w:r>
      <w:r>
        <w:t xml:space="preserve"> </w:t>
      </w:r>
      <w:r w:rsidR="00E519BA" w:rsidRPr="00E519BA">
        <w:t>(1):</w:t>
      </w:r>
      <w:r w:rsidR="00D16866" w:rsidRPr="00D16866">
        <w:t xml:space="preserve"> </w:t>
      </w:r>
    </w:p>
    <w:p w14:paraId="7050CB41" w14:textId="5EF3B750" w:rsidR="00660BCC" w:rsidRPr="00660BCC" w:rsidRDefault="00660BCC" w:rsidP="00660BCC">
      <w:pPr>
        <w:spacing w:line="276" w:lineRule="auto"/>
        <w:ind w:firstLine="397"/>
        <w:jc w:val="center"/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t</m:t>
            </m:r>
          </m:sub>
        </m:sSub>
        <m:r>
          <w:rPr>
            <w:rFonts w:ascii="Cambria Math" w:hAnsi="Cambria Math"/>
            <w:sz w:val="20"/>
            <w:szCs w:val="20"/>
          </w:rPr>
          <m:t>=0.00001</m:t>
        </m:r>
        <m:r>
          <m:rPr>
            <m:sty m:val="p"/>
          </m:rPr>
          <w:rPr>
            <w:rStyle w:val="mo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×</m:t>
        </m:r>
        <m:sSup>
          <m:sSupPr>
            <m:ctrlPr>
              <w:rPr>
                <w:rStyle w:val="mo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Style w:val="mo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(</m:t>
            </m:r>
            <m:r>
              <w:rPr>
                <w:rStyle w:val="mi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t</m:t>
            </m:r>
            <m:r>
              <m:rPr>
                <m:sty m:val="p"/>
              </m:rPr>
              <w:rPr>
                <w:rStyle w:val="mo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+</m:t>
            </m:r>
            <m:r>
              <m:rPr>
                <m:sty m:val="p"/>
              </m:rPr>
              <w:rPr>
                <w:rStyle w:val="mn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20</m:t>
            </m:r>
            <m:r>
              <m:rPr>
                <m:sty m:val="p"/>
              </m:rPr>
              <w:rPr>
                <w:rStyle w:val="mo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)</m:t>
            </m:r>
          </m:e>
          <m:sup>
            <m:r>
              <m:rPr>
                <m:sty m:val="p"/>
              </m:rPr>
              <w:rPr>
                <w:rStyle w:val="mn"/>
                <w:rFonts w:ascii="Cambria Math" w:hAnsi="Cambria Math"/>
                <w:color w:val="212121"/>
                <w:sz w:val="18"/>
                <w:szCs w:val="18"/>
                <w:bdr w:val="none" w:sz="0" w:space="0" w:color="auto" w:frame="1"/>
                <w:shd w:val="clear" w:color="auto" w:fill="FFFFFF"/>
              </w:rPr>
              <m:t>0.89</m:t>
            </m:r>
          </m:sup>
        </m:sSup>
        <m:r>
          <m:rPr>
            <m:sty m:val="p"/>
          </m:rPr>
          <w:rPr>
            <w:rStyle w:val="mo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+</m:t>
        </m:r>
        <m:r>
          <m:rPr>
            <m:sty m:val="p"/>
          </m:rPr>
          <w:rPr>
            <w:rStyle w:val="mn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2</m:t>
        </m:r>
        <m:r>
          <m:rPr>
            <m:sty m:val="p"/>
          </m:rPr>
          <w:rPr>
            <w:rStyle w:val="mo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×</m:t>
        </m:r>
        <m:r>
          <w:rPr>
            <w:rStyle w:val="mi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sin</m:t>
        </m:r>
        <m:r>
          <m:rPr>
            <m:sty m:val="p"/>
          </m:rPr>
          <w:rPr>
            <w:rStyle w:val="mo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(</m:t>
        </m:r>
        <m:f>
          <m:fPr>
            <m:ctrlPr>
              <w:rPr>
                <w:rStyle w:val="mn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Style w:val="mn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2</m:t>
            </m:r>
            <m:r>
              <w:rPr>
                <w:rStyle w:val="mi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πt</m:t>
            </m:r>
          </m:num>
          <m:den>
            <m:sSub>
              <m:sSubPr>
                <m:ctrlPr>
                  <w:rPr>
                    <w:rStyle w:val="mi"/>
                    <w:rFonts w:ascii="Cambria Math" w:hAnsi="Cambria Math"/>
                    <w:i/>
                    <w:iCs/>
                    <w:color w:val="212121"/>
                    <w:bdr w:val="none" w:sz="0" w:space="0" w:color="auto" w:frame="1"/>
                    <w:shd w:val="clear" w:color="auto" w:fill="FFFFFF"/>
                  </w:rPr>
                </m:ctrlPr>
              </m:sSubPr>
              <m:e>
                <m:r>
                  <w:rPr>
                    <w:rStyle w:val="mi"/>
                    <w:rFonts w:ascii="Cambria Math" w:hAnsi="Cambria Math"/>
                    <w:color w:val="212121"/>
                    <w:bdr w:val="none" w:sz="0" w:space="0" w:color="auto" w:frame="1"/>
                    <w:shd w:val="clear" w:color="auto" w:fill="FFFFFF"/>
                  </w:rPr>
                  <m:t>p</m:t>
                </m:r>
              </m:e>
              <m:sub>
                <m:r>
                  <w:rPr>
                    <w:rStyle w:val="mi"/>
                    <w:rFonts w:ascii="Cambria Math" w:hAnsi="Cambria Math"/>
                    <w:color w:val="212121"/>
                    <w:bdr w:val="none" w:sz="0" w:space="0" w:color="auto" w:frame="1"/>
                    <w:shd w:val="clear" w:color="auto" w:fill="FFFFFF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Style w:val="mo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)+</m:t>
        </m:r>
        <m:r>
          <m:rPr>
            <m:sty m:val="p"/>
          </m:rPr>
          <w:rPr>
            <w:rStyle w:val="mn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0.75</m:t>
        </m:r>
        <m:r>
          <m:rPr>
            <m:sty m:val="p"/>
          </m:rPr>
          <w:rPr>
            <w:rStyle w:val="mo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×</m:t>
        </m:r>
        <m:r>
          <w:rPr>
            <w:rStyle w:val="mi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sin</m:t>
        </m:r>
        <m:r>
          <m:rPr>
            <m:sty m:val="p"/>
          </m:rPr>
          <w:rPr>
            <w:rStyle w:val="mo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(</m:t>
        </m:r>
        <m:f>
          <m:fPr>
            <m:ctrlPr>
              <w:rPr>
                <w:rStyle w:val="mn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Style w:val="mn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2</m:t>
            </m:r>
            <m:r>
              <w:rPr>
                <w:rStyle w:val="mi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πt</m:t>
            </m:r>
          </m:num>
          <m:den>
            <m:sSub>
              <m:sSubPr>
                <m:ctrlPr>
                  <w:rPr>
                    <w:rStyle w:val="mi"/>
                    <w:rFonts w:ascii="Cambria Math" w:hAnsi="Cambria Math"/>
                    <w:i/>
                    <w:iCs/>
                    <w:color w:val="212121"/>
                    <w:bdr w:val="none" w:sz="0" w:space="0" w:color="auto" w:frame="1"/>
                    <w:shd w:val="clear" w:color="auto" w:fill="FFFFFF"/>
                  </w:rPr>
                </m:ctrlPr>
              </m:sSubPr>
              <m:e>
                <m:r>
                  <w:rPr>
                    <w:rStyle w:val="mi"/>
                    <w:rFonts w:ascii="Cambria Math" w:hAnsi="Cambria Math"/>
                    <w:color w:val="212121"/>
                    <w:bdr w:val="none" w:sz="0" w:space="0" w:color="auto" w:frame="1"/>
                    <w:shd w:val="clear" w:color="auto" w:fill="FFFFFF"/>
                  </w:rPr>
                  <m:t>p</m:t>
                </m:r>
              </m:e>
              <m:sub>
                <m:r>
                  <w:rPr>
                    <w:rStyle w:val="mi"/>
                    <w:rFonts w:ascii="Cambria Math" w:hAnsi="Cambria Math"/>
                    <w:color w:val="212121"/>
                    <w:bdr w:val="none" w:sz="0" w:space="0" w:color="auto" w:frame="1"/>
                    <w:shd w:val="clear" w:color="auto" w:fill="FFFFFF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Style w:val="mo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)+</m:t>
        </m:r>
        <m:r>
          <m:rPr>
            <m:sty m:val="p"/>
          </m:rPr>
          <w:rPr>
            <w:rStyle w:val="mtext"/>
            <w:rFonts w:ascii="Cambria Math" w:hAnsi="Cambria Math"/>
            <w:color w:val="212121"/>
            <w:bdr w:val="none" w:sz="0" w:space="0" w:color="auto" w:frame="1"/>
            <w:shd w:val="clear" w:color="auto" w:fill="FFFFFF"/>
          </w:rPr>
          <m:t>Rand</m:t>
        </m:r>
        <m:d>
          <m:dPr>
            <m:begChr m:val="{"/>
            <m:endChr m:val="}"/>
            <m:ctrlPr>
              <w:rPr>
                <w:rStyle w:val="mo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Style w:val="mo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-</m:t>
            </m:r>
            <m:r>
              <m:rPr>
                <m:sty m:val="p"/>
              </m:rPr>
              <w:rPr>
                <w:rStyle w:val="mn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1</m:t>
            </m:r>
            <m:r>
              <m:rPr>
                <m:sty m:val="p"/>
              </m:rPr>
              <w:rPr>
                <w:rStyle w:val="mo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,</m:t>
            </m:r>
            <m:r>
              <m:rPr>
                <m:sty m:val="p"/>
              </m:rPr>
              <w:rPr>
                <w:rStyle w:val="mn"/>
                <w:rFonts w:ascii="Cambria Math" w:hAnsi="Cambria Math"/>
                <w:color w:val="212121"/>
                <w:bdr w:val="none" w:sz="0" w:space="0" w:color="auto" w:frame="1"/>
                <w:shd w:val="clear" w:color="auto" w:fill="FFFFFF"/>
              </w:rPr>
              <m:t>1</m:t>
            </m:r>
          </m:e>
        </m:d>
      </m:oMath>
      <w:r w:rsidRPr="00660BCC">
        <w:t xml:space="preserve"> </w:t>
      </w:r>
      <w:r>
        <w:tab/>
      </w:r>
      <w:r>
        <w:tab/>
      </w:r>
      <w:r w:rsidRPr="00660BCC">
        <w:t xml:space="preserve">  (</w:t>
      </w:r>
      <w:r w:rsidRPr="00660BCC">
        <w:t>1)</w:t>
      </w:r>
    </w:p>
    <w:p w14:paraId="2DDD89B5" w14:textId="3FC437B2" w:rsidR="00151D31" w:rsidRPr="00151D31" w:rsidRDefault="00151D31" w:rsidP="00013954">
      <w:pPr>
        <w:spacing w:line="276" w:lineRule="auto"/>
        <w:jc w:val="both"/>
      </w:pPr>
      <w:r w:rsidRPr="00151D31">
        <w:rPr>
          <w:iCs/>
        </w:rPr>
        <w:t>Здесь 0.00001×(</w:t>
      </w:r>
      <w:r w:rsidRPr="00151D31">
        <w:rPr>
          <w:iCs/>
          <w:lang w:val="en-US"/>
        </w:rPr>
        <w:t>t</w:t>
      </w:r>
      <w:r w:rsidRPr="00151D31">
        <w:rPr>
          <w:iCs/>
        </w:rPr>
        <w:t>+20)</w:t>
      </w:r>
      <w:r w:rsidRPr="00151D31">
        <w:rPr>
          <w:iCs/>
          <w:vertAlign w:val="superscript"/>
        </w:rPr>
        <w:t>0.89</w:t>
      </w:r>
      <w:r>
        <w:rPr>
          <w:iCs/>
        </w:rPr>
        <w:t xml:space="preserve"> – медленно изменяющийся тренд</w:t>
      </w:r>
      <w:r w:rsidRPr="001E643A">
        <w:rPr>
          <w:iCs/>
        </w:rPr>
        <w:t xml:space="preserve">, </w:t>
      </w:r>
      <w:r w:rsidR="00000000" w:rsidRPr="001E643A">
        <w:rPr>
          <w:iCs/>
        </w:rPr>
        <w:t>следующие два слагаемых</w:t>
      </w:r>
      <w:r w:rsidR="00000000">
        <w:rPr>
          <w:iCs/>
        </w:rPr>
        <w:t xml:space="preserve"> </w:t>
      </w:r>
      <w:r>
        <w:rPr>
          <w:iCs/>
        </w:rPr>
        <w:t xml:space="preserve">соответствуют двум циклическим компонентам с периодами </w:t>
      </w:r>
      <w:r>
        <w:rPr>
          <w:iCs/>
          <w:lang w:val="en-GB"/>
        </w:rPr>
        <w:t>p</w:t>
      </w:r>
      <w:r w:rsidRPr="00151D31">
        <w:rPr>
          <w:iCs/>
        </w:rPr>
        <w:t>1 = 3</w:t>
      </w:r>
      <w:r>
        <w:rPr>
          <w:iCs/>
        </w:rPr>
        <w:t xml:space="preserve"> дня, </w:t>
      </w:r>
      <w:r>
        <w:rPr>
          <w:iCs/>
          <w:lang w:val="en-GB"/>
        </w:rPr>
        <w:t>p</w:t>
      </w:r>
      <w:r w:rsidRPr="00151D31">
        <w:rPr>
          <w:iCs/>
        </w:rPr>
        <w:t>2 = 3</w:t>
      </w:r>
      <w:r w:rsidR="002C35B4">
        <w:rPr>
          <w:iCs/>
        </w:rPr>
        <w:t>65</w:t>
      </w:r>
      <w:r w:rsidRPr="00151D31">
        <w:rPr>
          <w:iCs/>
        </w:rPr>
        <w:t xml:space="preserve"> </w:t>
      </w:r>
      <w:r>
        <w:rPr>
          <w:iCs/>
        </w:rPr>
        <w:t xml:space="preserve">дней. </w:t>
      </w:r>
      <w:proofErr w:type="gramStart"/>
      <w:r w:rsidRPr="00151D31">
        <w:rPr>
          <w:iCs/>
          <w:lang w:val="en-US"/>
        </w:rPr>
        <w:t>Rand</w:t>
      </w:r>
      <w:r w:rsidRPr="00151D31">
        <w:rPr>
          <w:iCs/>
        </w:rPr>
        <w:t>{</w:t>
      </w:r>
      <w:proofErr w:type="gramEnd"/>
      <w:r w:rsidRPr="00151D31">
        <w:rPr>
          <w:iCs/>
        </w:rPr>
        <w:t xml:space="preserve">−1,1} – </w:t>
      </w:r>
      <w:r>
        <w:rPr>
          <w:iCs/>
        </w:rPr>
        <w:t>шумовая компонента, которая добавля</w:t>
      </w:r>
      <w:r w:rsidRPr="00736558">
        <w:rPr>
          <w:iCs/>
        </w:rPr>
        <w:t xml:space="preserve">ется к ряду отдельно. </w:t>
      </w:r>
      <w:r w:rsidRPr="00736558">
        <w:rPr>
          <w:iCs/>
          <w:color w:val="000000"/>
        </w:rPr>
        <w:t>Таким образом</w:t>
      </w:r>
      <w:r w:rsidR="00E519BA" w:rsidRPr="00736558">
        <w:rPr>
          <w:iCs/>
          <w:color w:val="000000"/>
        </w:rPr>
        <w:t>,</w:t>
      </w:r>
      <w:r w:rsidRPr="00736558">
        <w:rPr>
          <w:iCs/>
          <w:color w:val="000000"/>
        </w:rPr>
        <w:t xml:space="preserve"> </w:t>
      </w:r>
      <w:r w:rsidR="00000000" w:rsidRPr="00736558">
        <w:rPr>
          <w:iCs/>
          <w:color w:val="000000"/>
        </w:rPr>
        <w:t>получены две зависимости</w:t>
      </w:r>
      <w:r w:rsidRPr="00736558">
        <w:rPr>
          <w:iCs/>
        </w:rPr>
        <w:t>:</w:t>
      </w:r>
      <w:r w:rsidRPr="00691612">
        <w:rPr>
          <w:iCs/>
        </w:rPr>
        <w:t xml:space="preserve"> полезные </w:t>
      </w:r>
      <w:r>
        <w:rPr>
          <w:iCs/>
        </w:rPr>
        <w:t>данные, а также шум.</w:t>
      </w:r>
      <w:r w:rsidRPr="00151D31">
        <w:rPr>
          <w:iCs/>
        </w:rPr>
        <w:t xml:space="preserve"> </w:t>
      </w:r>
      <w:r w:rsidRPr="001E643A">
        <w:rPr>
          <w:iCs/>
        </w:rPr>
        <w:t xml:space="preserve">Далее </w:t>
      </w:r>
      <w:r w:rsidR="00F43D86" w:rsidRPr="001E643A">
        <w:rPr>
          <w:iCs/>
        </w:rPr>
        <w:t>суммарная зависимость подается</w:t>
      </w:r>
      <w:r w:rsidR="00F43D86">
        <w:rPr>
          <w:iCs/>
        </w:rPr>
        <w:t xml:space="preserve"> </w:t>
      </w:r>
      <w:r>
        <w:rPr>
          <w:iCs/>
        </w:rPr>
        <w:t>на вход алгоритма</w:t>
      </w:r>
      <w:r w:rsidR="001E643A">
        <w:rPr>
          <w:iCs/>
        </w:rPr>
        <w:t xml:space="preserve">м. </w:t>
      </w:r>
      <w:r w:rsidR="001E643A" w:rsidRPr="00840D4C">
        <w:rPr>
          <w:iCs/>
        </w:rPr>
        <w:t>На выходе получаются две компоненты ряда: очищенные данные и остатки ряда. Производится сравнение очищенных данных с исходно сгенерированными рядами визуально, а также при помощи метрик.</w:t>
      </w:r>
    </w:p>
    <w:p w14:paraId="26F8B24E" w14:textId="77777777" w:rsidR="00011E41" w:rsidRDefault="008D06FE" w:rsidP="007559AF">
      <w:pPr>
        <w:ind w:firstLine="397"/>
        <w:jc w:val="both"/>
      </w:pPr>
      <w:r>
        <w:t>Первый метод, который был использован в данном исследовании –</w:t>
      </w:r>
      <w:r w:rsidRPr="008D06FE">
        <w:t xml:space="preserve"> Анализ сингулярного спектра (</w:t>
      </w:r>
      <w:r>
        <w:t xml:space="preserve">англ.: </w:t>
      </w:r>
      <w:r>
        <w:rPr>
          <w:lang w:val="en-GB"/>
        </w:rPr>
        <w:t>Singular</w:t>
      </w:r>
      <w:r w:rsidRPr="008D06FE">
        <w:t xml:space="preserve"> </w:t>
      </w:r>
      <w:r>
        <w:rPr>
          <w:lang w:val="en-GB"/>
        </w:rPr>
        <w:t>Spectrum</w:t>
      </w:r>
      <w:r w:rsidRPr="008D06FE">
        <w:t xml:space="preserve"> </w:t>
      </w:r>
      <w:r>
        <w:rPr>
          <w:lang w:val="en-GB"/>
        </w:rPr>
        <w:t>Analysis</w:t>
      </w:r>
      <w:r w:rsidRPr="008D06FE">
        <w:t>,</w:t>
      </w:r>
      <w:r>
        <w:t xml:space="preserve"> сокр.: </w:t>
      </w:r>
      <w:r>
        <w:rPr>
          <w:lang w:val="en-GB"/>
        </w:rPr>
        <w:t>SSA</w:t>
      </w:r>
      <w:r w:rsidRPr="008D06FE">
        <w:t>)</w:t>
      </w:r>
      <w:r w:rsidR="00E04C2F" w:rsidRPr="00E04C2F">
        <w:t xml:space="preserve"> [</w:t>
      </w:r>
      <w:r w:rsidR="00E04C2F">
        <w:t>2</w:t>
      </w:r>
      <w:r w:rsidR="00E04C2F" w:rsidRPr="00E04C2F">
        <w:t>]</w:t>
      </w:r>
      <w:r w:rsidRPr="008D06FE">
        <w:t>.</w:t>
      </w:r>
      <w:r>
        <w:t xml:space="preserve"> Он основан на представлении временного ряда в виде многомерного объект</w:t>
      </w:r>
      <w:r w:rsidR="00E519BA" w:rsidRPr="00E519BA">
        <w:t>а</w:t>
      </w:r>
      <w:r>
        <w:t xml:space="preserve"> – траекторной матрицы. Далее, находя собственные векторы и собственные значений траекторной матрицы, а также оставляя только наиболее значимые собственные векторы, </w:t>
      </w:r>
      <w:r w:rsidR="00AA602E">
        <w:t>можно выделить наиболее информативные частоты спектра</w:t>
      </w:r>
      <w:r w:rsidR="00000000" w:rsidRPr="00F43D86">
        <w:t xml:space="preserve">. </w:t>
      </w:r>
      <w:r w:rsidR="00AA602E">
        <w:t xml:space="preserve">Второй рассматриваемый метод – алгоритм скользящего среднего. Основное преимущество данного метода </w:t>
      </w:r>
      <w:r w:rsidR="00E519BA" w:rsidRPr="00E519BA">
        <w:t>перед</w:t>
      </w:r>
      <w:r w:rsidR="00E519BA">
        <w:t xml:space="preserve"> </w:t>
      </w:r>
      <w:r w:rsidR="00AA602E">
        <w:t xml:space="preserve">первым – </w:t>
      </w:r>
      <w:r w:rsidR="00000000" w:rsidRPr="00840D4C">
        <w:t>меньшее число вычислительных операций по сравнению с построени</w:t>
      </w:r>
      <w:r w:rsidR="00F43D86" w:rsidRPr="00840D4C">
        <w:t>е</w:t>
      </w:r>
      <w:r w:rsidR="00000000" w:rsidRPr="00840D4C">
        <w:t>м</w:t>
      </w:r>
      <w:r w:rsidR="00AA602E">
        <w:t xml:space="preserve"> сингулярного разложения траекторной матрицы. </w:t>
      </w:r>
      <w:r w:rsidRPr="008D06FE">
        <w:t>Оба рассматриваемых метода реализованы в стандартных пакетах</w:t>
      </w:r>
      <w:r>
        <w:t xml:space="preserve"> и имеют всего один </w:t>
      </w:r>
      <w:r w:rsidR="00AA602E">
        <w:t xml:space="preserve">управляющий </w:t>
      </w:r>
      <w:r>
        <w:t>параметр</w:t>
      </w:r>
      <w:r w:rsidR="00AA602E">
        <w:t>, однако при использовании алгоритма скользящего среднего теряются некоторые значения ряда, это связано с особенностями метода.</w:t>
      </w:r>
    </w:p>
    <w:p w14:paraId="2DDD341A" w14:textId="77777777" w:rsidR="00964192" w:rsidRPr="00964192" w:rsidRDefault="00964192" w:rsidP="007559AF">
      <w:pPr>
        <w:ind w:firstLine="397"/>
        <w:jc w:val="both"/>
      </w:pPr>
      <w:r>
        <w:rPr>
          <w:color w:val="000000"/>
        </w:rPr>
        <w:t xml:space="preserve">На рисунках 1 и 2 </w:t>
      </w:r>
      <w:r w:rsidR="00637410">
        <w:rPr>
          <w:color w:val="000000"/>
        </w:rPr>
        <w:t>показаны</w:t>
      </w:r>
      <w:r>
        <w:rPr>
          <w:color w:val="000000"/>
        </w:rPr>
        <w:t xml:space="preserve"> результаты применения алгоритмов к сгенерированному ряду. </w:t>
      </w:r>
      <w:r w:rsidRPr="00840D4C">
        <w:rPr>
          <w:color w:val="000000"/>
        </w:rPr>
        <w:t xml:space="preserve">На графиках представлены компоненты, на которые алгоритмы разделили исходный зашумлённый </w:t>
      </w:r>
      <w:r w:rsidRPr="0090767F">
        <w:rPr>
          <w:color w:val="000000"/>
        </w:rPr>
        <w:t xml:space="preserve">сигнал. </w:t>
      </w:r>
      <w:r w:rsidR="00840D4C" w:rsidRPr="0090767F">
        <w:rPr>
          <w:color w:val="000000"/>
        </w:rPr>
        <w:t>Вместе с тем,</w:t>
      </w:r>
      <w:r w:rsidRPr="00840D4C">
        <w:rPr>
          <w:color w:val="000000"/>
        </w:rPr>
        <w:t xml:space="preserve"> приведены значения исходных данных для информации</w:t>
      </w:r>
      <w:r w:rsidR="00AB65F0" w:rsidRPr="00840D4C">
        <w:rPr>
          <w:color w:val="000000"/>
        </w:rPr>
        <w:t>,</w:t>
      </w:r>
      <w:r w:rsidRPr="00840D4C">
        <w:rPr>
          <w:color w:val="000000"/>
        </w:rPr>
        <w:t xml:space="preserve"> </w:t>
      </w:r>
      <w:r w:rsidR="00AB65F0" w:rsidRPr="00840D4C">
        <w:rPr>
          <w:color w:val="000000"/>
        </w:rPr>
        <w:t>признанной полезной (сверху)</w:t>
      </w:r>
      <w:r w:rsidRPr="00840D4C">
        <w:rPr>
          <w:color w:val="000000"/>
        </w:rPr>
        <w:t xml:space="preserve"> и для шума</w:t>
      </w:r>
      <w:r w:rsidR="00127412">
        <w:rPr>
          <w:color w:val="000000"/>
        </w:rPr>
        <w:t xml:space="preserve"> </w:t>
      </w:r>
      <w:r w:rsidR="00AB65F0" w:rsidRPr="00840D4C">
        <w:rPr>
          <w:color w:val="000000"/>
        </w:rPr>
        <w:t>(снизу)</w:t>
      </w:r>
      <w:r w:rsidR="00840D4C" w:rsidRPr="00840D4C">
        <w:rPr>
          <w:color w:val="000000"/>
        </w:rPr>
        <w:t>.</w:t>
      </w:r>
      <w:r w:rsidRPr="00840D4C">
        <w:rPr>
          <w:color w:val="000000"/>
        </w:rPr>
        <w:t xml:space="preserve"> На графиках </w:t>
      </w:r>
      <w:r w:rsidR="00637410" w:rsidRPr="00840D4C">
        <w:rPr>
          <w:color w:val="000000"/>
        </w:rPr>
        <w:t xml:space="preserve">нанесены значения коэффициента детерминации и среднеквадратичная ошибка при сравнении сигнала </w:t>
      </w:r>
      <w:r w:rsidR="00C50568" w:rsidRPr="0090767F">
        <w:rPr>
          <w:color w:val="000000"/>
        </w:rPr>
        <w:t>без шума</w:t>
      </w:r>
      <w:r w:rsidR="00C50568">
        <w:rPr>
          <w:color w:val="000000"/>
        </w:rPr>
        <w:t xml:space="preserve"> </w:t>
      </w:r>
      <w:r w:rsidR="00637410" w:rsidRPr="00840D4C">
        <w:rPr>
          <w:color w:val="000000"/>
        </w:rPr>
        <w:t>с восстановленным</w:t>
      </w:r>
      <w:r w:rsidRPr="00840D4C">
        <w:rPr>
          <w:color w:val="000000"/>
        </w:rPr>
        <w:t xml:space="preserve">.  </w:t>
      </w:r>
    </w:p>
    <w:tbl>
      <w:tblPr>
        <w:tblW w:w="10328" w:type="dxa"/>
        <w:jc w:val="center"/>
        <w:tblLayout w:type="fixed"/>
        <w:tblLook w:val="04A0" w:firstRow="1" w:lastRow="0" w:firstColumn="1" w:lastColumn="0" w:noHBand="0" w:noVBand="1"/>
      </w:tblPr>
      <w:tblGrid>
        <w:gridCol w:w="15"/>
        <w:gridCol w:w="10035"/>
        <w:gridCol w:w="15"/>
        <w:gridCol w:w="263"/>
      </w:tblGrid>
      <w:tr w:rsidR="00813C9E" w:rsidRPr="00F670FD" w14:paraId="260D1847" w14:textId="77777777" w:rsidTr="00442D0A">
        <w:trPr>
          <w:gridBefore w:val="1"/>
          <w:wBefore w:w="15" w:type="dxa"/>
          <w:trHeight w:val="2985"/>
          <w:jc w:val="center"/>
        </w:trPr>
        <w:tc>
          <w:tcPr>
            <w:tcW w:w="10050" w:type="dxa"/>
            <w:gridSpan w:val="2"/>
            <w:shd w:val="clear" w:color="auto" w:fill="auto"/>
            <w:vAlign w:val="center"/>
          </w:tcPr>
          <w:p w14:paraId="1A249427" w14:textId="507F9D1A" w:rsidR="00813C9E" w:rsidRPr="00A659DC" w:rsidRDefault="00A57465" w:rsidP="00A318C8">
            <w:pPr>
              <w:ind w:firstLine="426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3488D6CA" wp14:editId="76C23A92">
                  <wp:extent cx="5703277" cy="2258212"/>
                  <wp:effectExtent l="0" t="0" r="0" b="8890"/>
                  <wp:docPr id="12142758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015" cy="226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" w:type="dxa"/>
          </w:tcPr>
          <w:p w14:paraId="08545352" w14:textId="77777777" w:rsidR="00813C9E" w:rsidRPr="00A659DC" w:rsidRDefault="00813C9E" w:rsidP="00011E41">
            <w:pPr>
              <w:ind w:firstLine="426"/>
            </w:pPr>
          </w:p>
        </w:tc>
      </w:tr>
      <w:tr w:rsidR="00813C9E" w:rsidRPr="00F670FD" w14:paraId="23690F4A" w14:textId="77777777" w:rsidTr="00442D0A">
        <w:trPr>
          <w:trHeight w:val="363"/>
          <w:jc w:val="center"/>
        </w:trPr>
        <w:tc>
          <w:tcPr>
            <w:tcW w:w="10328" w:type="dxa"/>
            <w:gridSpan w:val="4"/>
            <w:shd w:val="clear" w:color="auto" w:fill="auto"/>
            <w:vAlign w:val="center"/>
          </w:tcPr>
          <w:p w14:paraId="5F692B11" w14:textId="77777777" w:rsidR="00813C9E" w:rsidRDefault="00813C9E" w:rsidP="00011E41">
            <w:pPr>
              <w:ind w:firstLine="426"/>
              <w:jc w:val="center"/>
              <w:rPr>
                <w:sz w:val="22"/>
                <w:szCs w:val="22"/>
              </w:rPr>
            </w:pPr>
            <w:r w:rsidRPr="002700F0">
              <w:rPr>
                <w:b/>
                <w:i/>
                <w:sz w:val="22"/>
                <w:szCs w:val="22"/>
              </w:rPr>
              <w:t>Рис. 1.</w:t>
            </w:r>
            <w:r w:rsidRPr="002700F0">
              <w:rPr>
                <w:sz w:val="22"/>
                <w:szCs w:val="22"/>
              </w:rPr>
              <w:t xml:space="preserve"> </w:t>
            </w:r>
            <w:r w:rsidR="008D06FE">
              <w:rPr>
                <w:sz w:val="22"/>
                <w:szCs w:val="22"/>
              </w:rPr>
              <w:t xml:space="preserve">Результаты обработки при помощи метода </w:t>
            </w:r>
            <w:r w:rsidR="008D06FE">
              <w:rPr>
                <w:sz w:val="22"/>
                <w:szCs w:val="22"/>
                <w:lang w:val="en-GB"/>
              </w:rPr>
              <w:t>SSA</w:t>
            </w:r>
            <w:r w:rsidR="00AA602E" w:rsidRPr="00AA602E">
              <w:rPr>
                <w:sz w:val="22"/>
                <w:szCs w:val="22"/>
              </w:rPr>
              <w:t>.</w:t>
            </w:r>
          </w:p>
          <w:p w14:paraId="60A60BC2" w14:textId="77777777" w:rsidR="00964192" w:rsidRDefault="00964192" w:rsidP="00011E41">
            <w:pPr>
              <w:ind w:firstLine="426"/>
              <w:jc w:val="center"/>
              <w:rPr>
                <w:sz w:val="22"/>
                <w:szCs w:val="22"/>
              </w:rPr>
            </w:pPr>
          </w:p>
          <w:p w14:paraId="5D1DF07C" w14:textId="77777777" w:rsidR="00964192" w:rsidRDefault="00964192" w:rsidP="00011E41">
            <w:pPr>
              <w:ind w:firstLine="426"/>
              <w:jc w:val="center"/>
              <w:rPr>
                <w:sz w:val="22"/>
                <w:szCs w:val="22"/>
              </w:rPr>
            </w:pPr>
          </w:p>
          <w:p w14:paraId="609FAB2C" w14:textId="77777777" w:rsidR="00964192" w:rsidRDefault="00964192" w:rsidP="00964192">
            <w:pPr>
              <w:ind w:firstLine="39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графиков и метрик видно, что метод </w:t>
            </w:r>
            <w:r>
              <w:rPr>
                <w:color w:val="000000"/>
                <w:lang w:val="en-GB"/>
              </w:rPr>
              <w:t>SSA</w:t>
            </w:r>
            <w:r w:rsidRPr="007559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более точно передаёт полезную информацию, сохраняя при этом все наборы значений временного ряда, и</w:t>
            </w:r>
            <w:r w:rsidRPr="00E519BA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несмотря на свою низкую по сравнению со скользящим средним эффективностью</w:t>
            </w:r>
            <w:r w:rsidRPr="00E519BA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Pr="00F40279">
              <w:rPr>
                <w:color w:val="000000"/>
              </w:rPr>
              <w:t>может быть рекомендован к применению</w:t>
            </w:r>
            <w:r>
              <w:rPr>
                <w:color w:val="000000"/>
              </w:rPr>
              <w:t>, так как результаты вычислений могут быть использованы при дальнейшем частотном анализе или восстановлении.</w:t>
            </w:r>
          </w:p>
          <w:p w14:paraId="6876A6ED" w14:textId="77777777" w:rsidR="00964192" w:rsidRDefault="00964192" w:rsidP="00011E41">
            <w:pPr>
              <w:ind w:firstLine="426"/>
              <w:jc w:val="center"/>
              <w:rPr>
                <w:sz w:val="22"/>
                <w:szCs w:val="22"/>
              </w:rPr>
            </w:pPr>
          </w:p>
          <w:p w14:paraId="2AEEBA2D" w14:textId="77777777" w:rsidR="00964192" w:rsidRPr="00AA602E" w:rsidRDefault="00964192" w:rsidP="00011E41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DB41F9" w:rsidRPr="00E128E9" w14:paraId="0C9D9DD1" w14:textId="77777777">
        <w:trPr>
          <w:gridAfter w:val="2"/>
          <w:wAfter w:w="278" w:type="dxa"/>
          <w:trHeight w:val="2985"/>
          <w:jc w:val="center"/>
        </w:trPr>
        <w:tc>
          <w:tcPr>
            <w:tcW w:w="10050" w:type="dxa"/>
            <w:gridSpan w:val="2"/>
            <w:shd w:val="clear" w:color="auto" w:fill="auto"/>
            <w:vAlign w:val="center"/>
          </w:tcPr>
          <w:p w14:paraId="107C538A" w14:textId="0050C168" w:rsidR="00DB41F9" w:rsidRPr="00A659DC" w:rsidRDefault="00A57465">
            <w:pPr>
              <w:ind w:firstLine="426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BB7CD2" wp14:editId="586406E9">
                  <wp:extent cx="5859379" cy="2320021"/>
                  <wp:effectExtent l="0" t="0" r="8255" b="4445"/>
                  <wp:docPr id="745314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446" cy="23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1F9" w:rsidRPr="00AA602E" w14:paraId="6B9B0A6A" w14:textId="77777777">
        <w:trPr>
          <w:trHeight w:val="363"/>
          <w:jc w:val="center"/>
        </w:trPr>
        <w:tc>
          <w:tcPr>
            <w:tcW w:w="10328" w:type="dxa"/>
            <w:gridSpan w:val="4"/>
            <w:shd w:val="clear" w:color="auto" w:fill="auto"/>
            <w:vAlign w:val="center"/>
          </w:tcPr>
          <w:p w14:paraId="15BC15BF" w14:textId="77777777" w:rsidR="00DB41F9" w:rsidRPr="00AA602E" w:rsidRDefault="00DB41F9">
            <w:pPr>
              <w:ind w:firstLine="426"/>
              <w:jc w:val="center"/>
              <w:rPr>
                <w:sz w:val="22"/>
                <w:szCs w:val="22"/>
              </w:rPr>
            </w:pPr>
            <w:r w:rsidRPr="002700F0">
              <w:rPr>
                <w:b/>
                <w:i/>
                <w:sz w:val="22"/>
                <w:szCs w:val="22"/>
              </w:rPr>
              <w:t>Рис. </w:t>
            </w:r>
            <w:r w:rsidR="00AA602E">
              <w:rPr>
                <w:b/>
                <w:i/>
                <w:sz w:val="22"/>
                <w:szCs w:val="22"/>
              </w:rPr>
              <w:t>2</w:t>
            </w:r>
            <w:r w:rsidRPr="002700F0">
              <w:rPr>
                <w:b/>
                <w:i/>
                <w:sz w:val="22"/>
                <w:szCs w:val="22"/>
              </w:rPr>
              <w:t>.</w:t>
            </w:r>
            <w:r w:rsidRPr="002700F0">
              <w:rPr>
                <w:sz w:val="22"/>
                <w:szCs w:val="22"/>
              </w:rPr>
              <w:t xml:space="preserve"> </w:t>
            </w:r>
            <w:r w:rsidR="00AA602E">
              <w:rPr>
                <w:sz w:val="22"/>
                <w:szCs w:val="22"/>
              </w:rPr>
              <w:t>Результаты обработки при помощи скользящего среднего.</w:t>
            </w:r>
          </w:p>
        </w:tc>
      </w:tr>
    </w:tbl>
    <w:p w14:paraId="35EB7008" w14:textId="77777777" w:rsidR="007559AF" w:rsidRPr="007559AF" w:rsidRDefault="007559AF" w:rsidP="007559AF">
      <w:pPr>
        <w:ind w:firstLine="397"/>
        <w:jc w:val="both"/>
        <w:rPr>
          <w:color w:val="000000"/>
        </w:rPr>
      </w:pPr>
    </w:p>
    <w:p w14:paraId="2435AF8F" w14:textId="77777777" w:rsidR="001942D4" w:rsidRPr="00057723" w:rsidRDefault="00813C9E" w:rsidP="00011E41">
      <w:pPr>
        <w:ind w:firstLine="426"/>
        <w:jc w:val="center"/>
        <w:rPr>
          <w:b/>
        </w:rPr>
      </w:pPr>
      <w:r w:rsidRPr="00825453">
        <w:rPr>
          <w:b/>
          <w:color w:val="000000"/>
          <w:shd w:val="clear" w:color="auto" w:fill="FFFFFF"/>
        </w:rPr>
        <w:t>Литература</w:t>
      </w:r>
    </w:p>
    <w:p w14:paraId="3A9CD3D2" w14:textId="77777777" w:rsidR="00E128E9" w:rsidRDefault="00E128E9" w:rsidP="00E128E9">
      <w:pPr>
        <w:numPr>
          <w:ilvl w:val="0"/>
          <w:numId w:val="7"/>
        </w:num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Kurbatova</w:t>
      </w:r>
      <w:proofErr w:type="spellEnd"/>
      <w:r>
        <w:rPr>
          <w:lang w:val="en-US"/>
        </w:rPr>
        <w:t xml:space="preserve"> J., Tatarinov F., Molchanov A. et al. Partitioning of ecosystem respiration in a </w:t>
      </w:r>
      <w:proofErr w:type="spellStart"/>
      <w:r>
        <w:rPr>
          <w:lang w:val="en-US"/>
        </w:rPr>
        <w:t>paludified</w:t>
      </w:r>
      <w:proofErr w:type="spellEnd"/>
      <w:r>
        <w:rPr>
          <w:lang w:val="en-US"/>
        </w:rPr>
        <w:t xml:space="preserve"> shallow-peat spruce forest in the southern taiga of European Russia. // Environ. Res. Lett., 2013. T. 8</w:t>
      </w:r>
      <w:r>
        <w:t>.</w:t>
      </w:r>
      <w:r>
        <w:rPr>
          <w:lang w:val="en-US"/>
        </w:rPr>
        <w:t xml:space="preserve"> №</w:t>
      </w:r>
      <w:r>
        <w:t xml:space="preserve">. </w:t>
      </w:r>
      <w:r>
        <w:rPr>
          <w:lang w:val="en-US"/>
        </w:rPr>
        <w:t>4.  C.  045028.</w:t>
      </w:r>
    </w:p>
    <w:p w14:paraId="2D76F515" w14:textId="77777777" w:rsidR="00E128E9" w:rsidRDefault="00E04C2F" w:rsidP="00E128E9">
      <w:pPr>
        <w:numPr>
          <w:ilvl w:val="0"/>
          <w:numId w:val="7"/>
        </w:numPr>
        <w:spacing w:line="276" w:lineRule="auto"/>
        <w:jc w:val="both"/>
        <w:rPr>
          <w:lang w:val="en-US"/>
        </w:rPr>
      </w:pPr>
      <w:r w:rsidRPr="00E04C2F">
        <w:rPr>
          <w:lang w:val="en-US"/>
        </w:rPr>
        <w:t xml:space="preserve">N. </w:t>
      </w:r>
      <w:proofErr w:type="spellStart"/>
      <w:r w:rsidRPr="00E04C2F">
        <w:rPr>
          <w:lang w:val="en-US"/>
        </w:rPr>
        <w:t>Golyandina</w:t>
      </w:r>
      <w:proofErr w:type="spellEnd"/>
      <w:r w:rsidRPr="00E04C2F">
        <w:rPr>
          <w:lang w:val="en-US"/>
        </w:rPr>
        <w:t xml:space="preserve">, V. </w:t>
      </w:r>
      <w:proofErr w:type="spellStart"/>
      <w:r w:rsidRPr="00E04C2F">
        <w:rPr>
          <w:lang w:val="en-US"/>
        </w:rPr>
        <w:t>Nekrutkin</w:t>
      </w:r>
      <w:proofErr w:type="spellEnd"/>
      <w:r w:rsidRPr="00E04C2F">
        <w:rPr>
          <w:lang w:val="en-US"/>
        </w:rPr>
        <w:t>, A. Zhigljavsky</w:t>
      </w:r>
      <w:r>
        <w:rPr>
          <w:lang w:val="en-US"/>
        </w:rPr>
        <w:t xml:space="preserve">. </w:t>
      </w:r>
      <w:r w:rsidRPr="00E04C2F">
        <w:rPr>
          <w:lang w:val="en-US"/>
        </w:rPr>
        <w:t>Analysis of time series structure: SSA and related techniques</w:t>
      </w:r>
      <w:r w:rsidR="00E128E9" w:rsidRPr="00E04C2F">
        <w:rPr>
          <w:lang w:val="en-US"/>
        </w:rPr>
        <w:t xml:space="preserve">. </w:t>
      </w:r>
      <w:r w:rsidRPr="00E04C2F">
        <w:rPr>
          <w:lang w:val="en-US"/>
        </w:rPr>
        <w:t>Monographs on statistics and applied probability</w:t>
      </w:r>
      <w:r>
        <w:rPr>
          <w:lang w:val="en-US"/>
        </w:rPr>
        <w:t xml:space="preserve">, </w:t>
      </w:r>
      <w:r w:rsidRPr="00E04C2F">
        <w:rPr>
          <w:lang w:val="en-US"/>
        </w:rPr>
        <w:t>2001</w:t>
      </w:r>
      <w:r>
        <w:rPr>
          <w:lang w:val="en-US"/>
        </w:rPr>
        <w:t>.</w:t>
      </w:r>
    </w:p>
    <w:p w14:paraId="47A4FFA5" w14:textId="77777777" w:rsidR="00D47BA0" w:rsidRDefault="002B7165" w:rsidP="00E128E9">
      <w:pPr>
        <w:numPr>
          <w:ilvl w:val="0"/>
          <w:numId w:val="7"/>
        </w:numPr>
        <w:spacing w:line="276" w:lineRule="auto"/>
        <w:jc w:val="both"/>
        <w:rPr>
          <w:lang w:val="en-US"/>
        </w:rPr>
      </w:pPr>
      <w:r>
        <w:rPr>
          <w:lang w:val="en-US"/>
        </w:rPr>
        <w:t>W</w:t>
      </w:r>
      <w:r w:rsidRPr="00D47BA0">
        <w:rPr>
          <w:lang w:val="en-US"/>
        </w:rPr>
        <w:t xml:space="preserve">ikipedia.org </w:t>
      </w:r>
      <w:r w:rsidR="00D47BA0" w:rsidRPr="00D47BA0">
        <w:rPr>
          <w:lang w:val="en-US"/>
        </w:rPr>
        <w:t>https://en.wikipedia.org/wiki/Moving_average</w:t>
      </w:r>
      <w:r w:rsidR="00D47BA0">
        <w:rPr>
          <w:lang w:val="en-US"/>
        </w:rPr>
        <w:t xml:space="preserve"> </w:t>
      </w:r>
    </w:p>
    <w:p w14:paraId="1FF02EB1" w14:textId="77777777" w:rsidR="00011E41" w:rsidRPr="00902590" w:rsidRDefault="00E128E9" w:rsidP="00902590">
      <w:pPr>
        <w:numPr>
          <w:ilvl w:val="0"/>
          <w:numId w:val="7"/>
        </w:num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Box George E.P., Jenkins Gwilym M. Time series analysis, forecasting and control. </w:t>
      </w:r>
      <w:r w:rsidRPr="00E04C2F">
        <w:rPr>
          <w:lang w:val="en-US"/>
        </w:rPr>
        <w:t xml:space="preserve">Holden-day, Inc., 1976. </w:t>
      </w:r>
      <w:r>
        <w:t>С</w:t>
      </w:r>
      <w:r w:rsidRPr="00E04C2F">
        <w:rPr>
          <w:lang w:val="en-US"/>
        </w:rPr>
        <w:t>.300</w:t>
      </w:r>
    </w:p>
    <w:sectPr w:rsidR="00011E41" w:rsidRPr="00902590">
      <w:footerReference w:type="even" r:id="rId10"/>
      <w:footerReference w:type="default" r:id="rId11"/>
      <w:pgSz w:w="11906" w:h="16838"/>
      <w:pgMar w:top="1134" w:right="1361" w:bottom="124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D56AE" w14:textId="77777777" w:rsidR="00F6538B" w:rsidRDefault="00F6538B">
      <w:r>
        <w:separator/>
      </w:r>
    </w:p>
  </w:endnote>
  <w:endnote w:type="continuationSeparator" w:id="0">
    <w:p w14:paraId="237A4344" w14:textId="77777777" w:rsidR="00F6538B" w:rsidRDefault="00F65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32B8" w14:textId="77777777" w:rsidR="00442D0A" w:rsidRDefault="00442D0A" w:rsidP="007C425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50C6F58" w14:textId="77777777" w:rsidR="00442D0A" w:rsidRDefault="00442D0A" w:rsidP="0010191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E6AE" w14:textId="77777777" w:rsidR="00442D0A" w:rsidRDefault="00442D0A" w:rsidP="0010191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0268A" w14:textId="77777777" w:rsidR="00F6538B" w:rsidRDefault="00F6538B">
      <w:r>
        <w:separator/>
      </w:r>
    </w:p>
  </w:footnote>
  <w:footnote w:type="continuationSeparator" w:id="0">
    <w:p w14:paraId="19977E6B" w14:textId="77777777" w:rsidR="00F6538B" w:rsidRDefault="00F65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BBA078FC"/>
    <w:lvl w:ilvl="0" w:tplc="43E4D3E4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0000002"/>
    <w:multiLevelType w:val="hybridMultilevel"/>
    <w:tmpl w:val="B85E63DC"/>
    <w:lvl w:ilvl="0" w:tplc="43E4D3E4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34424BD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BDB454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0000005"/>
    <w:multiLevelType w:val="hybridMultilevel"/>
    <w:tmpl w:val="7D941830"/>
    <w:lvl w:ilvl="0" w:tplc="05D65F6C">
      <w:start w:val="1"/>
      <w:numFmt w:val="decimal"/>
      <w:lvlText w:val="%1.  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0000006"/>
    <w:multiLevelType w:val="hybridMultilevel"/>
    <w:tmpl w:val="8D021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7"/>
    <w:multiLevelType w:val="hybridMultilevel"/>
    <w:tmpl w:val="1C0682AA"/>
    <w:lvl w:ilvl="0" w:tplc="0D247BD2">
      <w:start w:val="1"/>
      <w:numFmt w:val="decimal"/>
      <w:lvlText w:val="%1."/>
      <w:lvlJc w:val="left"/>
      <w:pPr>
        <w:ind w:left="757" w:hanging="360"/>
      </w:pPr>
    </w:lvl>
    <w:lvl w:ilvl="1" w:tplc="04190019">
      <w:start w:val="1"/>
      <w:numFmt w:val="lowerLetter"/>
      <w:lvlText w:val="%2."/>
      <w:lvlJc w:val="left"/>
      <w:pPr>
        <w:ind w:left="1477" w:hanging="360"/>
      </w:pPr>
    </w:lvl>
    <w:lvl w:ilvl="2" w:tplc="0419001B">
      <w:start w:val="1"/>
      <w:numFmt w:val="lowerRoman"/>
      <w:lvlText w:val="%3."/>
      <w:lvlJc w:val="right"/>
      <w:pPr>
        <w:ind w:left="2197" w:hanging="180"/>
      </w:pPr>
    </w:lvl>
    <w:lvl w:ilvl="3" w:tplc="0419000F">
      <w:start w:val="1"/>
      <w:numFmt w:val="decimal"/>
      <w:lvlText w:val="%4."/>
      <w:lvlJc w:val="left"/>
      <w:pPr>
        <w:ind w:left="2917" w:hanging="360"/>
      </w:pPr>
    </w:lvl>
    <w:lvl w:ilvl="4" w:tplc="04190019">
      <w:start w:val="1"/>
      <w:numFmt w:val="lowerLetter"/>
      <w:lvlText w:val="%5."/>
      <w:lvlJc w:val="left"/>
      <w:pPr>
        <w:ind w:left="3637" w:hanging="360"/>
      </w:pPr>
    </w:lvl>
    <w:lvl w:ilvl="5" w:tplc="0419001B">
      <w:start w:val="1"/>
      <w:numFmt w:val="lowerRoman"/>
      <w:lvlText w:val="%6."/>
      <w:lvlJc w:val="right"/>
      <w:pPr>
        <w:ind w:left="4357" w:hanging="180"/>
      </w:pPr>
    </w:lvl>
    <w:lvl w:ilvl="6" w:tplc="0419000F">
      <w:start w:val="1"/>
      <w:numFmt w:val="decimal"/>
      <w:lvlText w:val="%7."/>
      <w:lvlJc w:val="left"/>
      <w:pPr>
        <w:ind w:left="5077" w:hanging="360"/>
      </w:pPr>
    </w:lvl>
    <w:lvl w:ilvl="7" w:tplc="04190019">
      <w:start w:val="1"/>
      <w:numFmt w:val="lowerLetter"/>
      <w:lvlText w:val="%8."/>
      <w:lvlJc w:val="left"/>
      <w:pPr>
        <w:ind w:left="5797" w:hanging="360"/>
      </w:pPr>
    </w:lvl>
    <w:lvl w:ilvl="8" w:tplc="0419001B">
      <w:start w:val="1"/>
      <w:numFmt w:val="lowerRoman"/>
      <w:lvlText w:val="%9."/>
      <w:lvlJc w:val="right"/>
      <w:pPr>
        <w:ind w:left="6517" w:hanging="180"/>
      </w:pPr>
    </w:lvl>
  </w:abstractNum>
  <w:num w:numId="1" w16cid:durableId="1658800002">
    <w:abstractNumId w:val="4"/>
  </w:num>
  <w:num w:numId="2" w16cid:durableId="114371627">
    <w:abstractNumId w:val="5"/>
  </w:num>
  <w:num w:numId="3" w16cid:durableId="643850462">
    <w:abstractNumId w:val="3"/>
  </w:num>
  <w:num w:numId="4" w16cid:durableId="16664495">
    <w:abstractNumId w:val="1"/>
  </w:num>
  <w:num w:numId="5" w16cid:durableId="900749694">
    <w:abstractNumId w:val="2"/>
  </w:num>
  <w:num w:numId="6" w16cid:durableId="1957516844">
    <w:abstractNumId w:val="0"/>
  </w:num>
  <w:num w:numId="7" w16cid:durableId="7178954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1E41"/>
    <w:rsid w:val="00013954"/>
    <w:rsid w:val="00041583"/>
    <w:rsid w:val="00041B7A"/>
    <w:rsid w:val="00057723"/>
    <w:rsid w:val="00073747"/>
    <w:rsid w:val="00082FB2"/>
    <w:rsid w:val="00084FBB"/>
    <w:rsid w:val="000A66E6"/>
    <w:rsid w:val="000A7C0A"/>
    <w:rsid w:val="000B764C"/>
    <w:rsid w:val="000C2B7D"/>
    <w:rsid w:val="000C514B"/>
    <w:rsid w:val="000D3C93"/>
    <w:rsid w:val="00101912"/>
    <w:rsid w:val="00113565"/>
    <w:rsid w:val="00116694"/>
    <w:rsid w:val="00127412"/>
    <w:rsid w:val="00145559"/>
    <w:rsid w:val="00145725"/>
    <w:rsid w:val="00151D31"/>
    <w:rsid w:val="001560FA"/>
    <w:rsid w:val="00157EC1"/>
    <w:rsid w:val="00191B00"/>
    <w:rsid w:val="001929B7"/>
    <w:rsid w:val="001942D4"/>
    <w:rsid w:val="001C34DE"/>
    <w:rsid w:val="001C65A7"/>
    <w:rsid w:val="001E53DB"/>
    <w:rsid w:val="001E643A"/>
    <w:rsid w:val="00203945"/>
    <w:rsid w:val="002522CA"/>
    <w:rsid w:val="002700F0"/>
    <w:rsid w:val="002B7165"/>
    <w:rsid w:val="002C35B4"/>
    <w:rsid w:val="002D0661"/>
    <w:rsid w:val="003134BF"/>
    <w:rsid w:val="003276BC"/>
    <w:rsid w:val="0034624D"/>
    <w:rsid w:val="0036078F"/>
    <w:rsid w:val="00372B30"/>
    <w:rsid w:val="00387196"/>
    <w:rsid w:val="003A1889"/>
    <w:rsid w:val="003A7D50"/>
    <w:rsid w:val="003B0219"/>
    <w:rsid w:val="003C665C"/>
    <w:rsid w:val="0040718C"/>
    <w:rsid w:val="004111A7"/>
    <w:rsid w:val="00412D4B"/>
    <w:rsid w:val="00442D0A"/>
    <w:rsid w:val="00461070"/>
    <w:rsid w:val="00471C89"/>
    <w:rsid w:val="004774A3"/>
    <w:rsid w:val="00481360"/>
    <w:rsid w:val="00486049"/>
    <w:rsid w:val="004C1B51"/>
    <w:rsid w:val="004C7FD3"/>
    <w:rsid w:val="004F0578"/>
    <w:rsid w:val="004F0E58"/>
    <w:rsid w:val="004F3B26"/>
    <w:rsid w:val="00522F93"/>
    <w:rsid w:val="00536E00"/>
    <w:rsid w:val="005656FA"/>
    <w:rsid w:val="00567E13"/>
    <w:rsid w:val="00585FDB"/>
    <w:rsid w:val="005A0ADD"/>
    <w:rsid w:val="005B478A"/>
    <w:rsid w:val="005B5F71"/>
    <w:rsid w:val="005C1810"/>
    <w:rsid w:val="005C5F32"/>
    <w:rsid w:val="005E4425"/>
    <w:rsid w:val="005E788B"/>
    <w:rsid w:val="005F4736"/>
    <w:rsid w:val="00604F95"/>
    <w:rsid w:val="00613B5D"/>
    <w:rsid w:val="00623A05"/>
    <w:rsid w:val="00630801"/>
    <w:rsid w:val="00637410"/>
    <w:rsid w:val="0065799F"/>
    <w:rsid w:val="00657CBD"/>
    <w:rsid w:val="00660BCC"/>
    <w:rsid w:val="00665540"/>
    <w:rsid w:val="00684521"/>
    <w:rsid w:val="00691213"/>
    <w:rsid w:val="00691612"/>
    <w:rsid w:val="006C6C75"/>
    <w:rsid w:val="006D39CB"/>
    <w:rsid w:val="006E2A0B"/>
    <w:rsid w:val="006F21F0"/>
    <w:rsid w:val="00701515"/>
    <w:rsid w:val="00704E39"/>
    <w:rsid w:val="0071479B"/>
    <w:rsid w:val="00726440"/>
    <w:rsid w:val="00736558"/>
    <w:rsid w:val="00740B0B"/>
    <w:rsid w:val="007533AC"/>
    <w:rsid w:val="007559AF"/>
    <w:rsid w:val="00755B0F"/>
    <w:rsid w:val="00763BEC"/>
    <w:rsid w:val="0078361D"/>
    <w:rsid w:val="007926F8"/>
    <w:rsid w:val="007A3850"/>
    <w:rsid w:val="007B0060"/>
    <w:rsid w:val="007C0667"/>
    <w:rsid w:val="007C15AF"/>
    <w:rsid w:val="007C425E"/>
    <w:rsid w:val="007E281C"/>
    <w:rsid w:val="007E2B50"/>
    <w:rsid w:val="007E3472"/>
    <w:rsid w:val="007F5491"/>
    <w:rsid w:val="00804CEF"/>
    <w:rsid w:val="00806F3C"/>
    <w:rsid w:val="00813C9E"/>
    <w:rsid w:val="008309D3"/>
    <w:rsid w:val="00840D4C"/>
    <w:rsid w:val="00842AC1"/>
    <w:rsid w:val="00853D7F"/>
    <w:rsid w:val="00854DB1"/>
    <w:rsid w:val="008A2CA1"/>
    <w:rsid w:val="008A36BD"/>
    <w:rsid w:val="008D06FE"/>
    <w:rsid w:val="008D0BC8"/>
    <w:rsid w:val="008D3631"/>
    <w:rsid w:val="008E6318"/>
    <w:rsid w:val="008F41D2"/>
    <w:rsid w:val="008F5B75"/>
    <w:rsid w:val="00902590"/>
    <w:rsid w:val="00904BA7"/>
    <w:rsid w:val="0090767F"/>
    <w:rsid w:val="00925138"/>
    <w:rsid w:val="00960060"/>
    <w:rsid w:val="00964192"/>
    <w:rsid w:val="009654CD"/>
    <w:rsid w:val="00971DA1"/>
    <w:rsid w:val="009C6D9B"/>
    <w:rsid w:val="009F1B7E"/>
    <w:rsid w:val="009F3AFE"/>
    <w:rsid w:val="00A1208A"/>
    <w:rsid w:val="00A318C8"/>
    <w:rsid w:val="00A34436"/>
    <w:rsid w:val="00A45F5E"/>
    <w:rsid w:val="00A57465"/>
    <w:rsid w:val="00AA602E"/>
    <w:rsid w:val="00AB65F0"/>
    <w:rsid w:val="00AD4300"/>
    <w:rsid w:val="00AF76B4"/>
    <w:rsid w:val="00B07841"/>
    <w:rsid w:val="00B40569"/>
    <w:rsid w:val="00B55829"/>
    <w:rsid w:val="00B60661"/>
    <w:rsid w:val="00B71CCF"/>
    <w:rsid w:val="00B815DB"/>
    <w:rsid w:val="00B87ADC"/>
    <w:rsid w:val="00B9050C"/>
    <w:rsid w:val="00BA269F"/>
    <w:rsid w:val="00BB1D57"/>
    <w:rsid w:val="00BC53DF"/>
    <w:rsid w:val="00BF1D85"/>
    <w:rsid w:val="00BF258B"/>
    <w:rsid w:val="00C13C66"/>
    <w:rsid w:val="00C23BEC"/>
    <w:rsid w:val="00C248C4"/>
    <w:rsid w:val="00C34C00"/>
    <w:rsid w:val="00C50568"/>
    <w:rsid w:val="00C55FC0"/>
    <w:rsid w:val="00C604EF"/>
    <w:rsid w:val="00C75302"/>
    <w:rsid w:val="00C82183"/>
    <w:rsid w:val="00C92CD8"/>
    <w:rsid w:val="00CC748C"/>
    <w:rsid w:val="00CD4908"/>
    <w:rsid w:val="00CE5B12"/>
    <w:rsid w:val="00D11384"/>
    <w:rsid w:val="00D12373"/>
    <w:rsid w:val="00D16866"/>
    <w:rsid w:val="00D47BA0"/>
    <w:rsid w:val="00D6493C"/>
    <w:rsid w:val="00D90DF5"/>
    <w:rsid w:val="00DB41F9"/>
    <w:rsid w:val="00DD7765"/>
    <w:rsid w:val="00E04C2F"/>
    <w:rsid w:val="00E07B59"/>
    <w:rsid w:val="00E128E9"/>
    <w:rsid w:val="00E20375"/>
    <w:rsid w:val="00E22224"/>
    <w:rsid w:val="00E519BA"/>
    <w:rsid w:val="00E625B1"/>
    <w:rsid w:val="00E63F1A"/>
    <w:rsid w:val="00E64A9A"/>
    <w:rsid w:val="00E65676"/>
    <w:rsid w:val="00E65683"/>
    <w:rsid w:val="00E8264B"/>
    <w:rsid w:val="00E82D9D"/>
    <w:rsid w:val="00E849DA"/>
    <w:rsid w:val="00EA4C97"/>
    <w:rsid w:val="00ED0FEB"/>
    <w:rsid w:val="00EE2373"/>
    <w:rsid w:val="00EF5FB6"/>
    <w:rsid w:val="00F30866"/>
    <w:rsid w:val="00F40279"/>
    <w:rsid w:val="00F40B92"/>
    <w:rsid w:val="00F43D86"/>
    <w:rsid w:val="00F538BF"/>
    <w:rsid w:val="00F6538B"/>
    <w:rsid w:val="00F66477"/>
    <w:rsid w:val="00F7405A"/>
    <w:rsid w:val="00FA1AC0"/>
    <w:rsid w:val="00FC0C73"/>
    <w:rsid w:val="00FC7BBF"/>
    <w:rsid w:val="00FF05B2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BE7AAF"/>
  <w14:defaultImageDpi w14:val="96"/>
  <w15:chartTrackingRefBased/>
  <w15:docId w15:val="{413FDC03-F388-453A-98BA-F183CCA2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pPr>
      <w:keepNext/>
      <w:pageBreakBefore/>
      <w:spacing w:after="120" w:line="360" w:lineRule="auto"/>
      <w:ind w:firstLine="709"/>
      <w:jc w:val="center"/>
      <w:outlineLvl w:val="1"/>
    </w:pPr>
    <w:rPr>
      <w:b/>
      <w:bCs/>
      <w:iCs/>
      <w:sz w:val="28"/>
      <w:szCs w:val="28"/>
    </w:rPr>
  </w:style>
  <w:style w:type="character" w:default="1" w:styleId="a0">
    <w:name w:val="Default Paragraph Font"/>
    <w:rPr>
      <w:rFonts w:ascii="Times New Roman" w:eastAsia="Times New Roman" w:hAnsi="Times New Roman" w:cs="Times New Roman"/>
    </w:rPr>
  </w:style>
  <w:style w:type="table" w:default="1" w:styleId="a1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page number"/>
    <w:rPr>
      <w:rFonts w:ascii="Times New Roman" w:eastAsia="Times New Roman" w:hAnsi="Times New Roman" w:cs="Times New Roman"/>
    </w:rPr>
  </w:style>
  <w:style w:type="character" w:styleId="a5">
    <w:name w:val="Emphasis"/>
    <w:qFormat/>
    <w:rPr>
      <w:rFonts w:ascii="Times New Roman" w:eastAsia="Times New Roman" w:hAnsi="Times New Roman" w:cs="Times New Roman"/>
      <w:i/>
      <w:iCs/>
    </w:rPr>
  </w:style>
  <w:style w:type="character" w:customStyle="1" w:styleId="apple-converted-space">
    <w:name w:val="apple-converted-space"/>
    <w:rPr>
      <w:rFonts w:ascii="Times New Roman" w:eastAsia="Times New Roman" w:hAnsi="Times New Roman" w:cs="Times New Roman"/>
    </w:rPr>
  </w:style>
  <w:style w:type="character" w:styleId="a6">
    <w:name w:val="Hyperlink"/>
    <w:rPr>
      <w:rFonts w:ascii="Times New Roman" w:eastAsia="Times New Roman" w:hAnsi="Times New Roman" w:cs="Times New Roman"/>
      <w:color w:val="0000FF"/>
      <w:u w:val="single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bCs/>
      <w:iCs/>
      <w:sz w:val="28"/>
      <w:szCs w:val="28"/>
      <w:lang w:val="ru-RU" w:eastAsia="ru-RU" w:bidi="ar-SA"/>
    </w:rPr>
  </w:style>
  <w:style w:type="paragraph" w:styleId="a7">
    <w:name w:val="No Spacing"/>
    <w:link w:val="a8"/>
    <w:qFormat/>
    <w:rPr>
      <w:rFonts w:ascii="Calibri" w:hAnsi="Calibri"/>
      <w:sz w:val="22"/>
      <w:szCs w:val="22"/>
      <w:lang w:eastAsia="en-US"/>
    </w:rPr>
  </w:style>
  <w:style w:type="character" w:customStyle="1" w:styleId="a8">
    <w:name w:val="Без интервала Знак"/>
    <w:link w:val="a7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a9">
    <w:name w:val="Normal (Web)"/>
    <w:basedOn w:val="a"/>
    <w:pPr>
      <w:spacing w:before="100" w:beforeAutospacing="1" w:after="100" w:afterAutospacing="1"/>
    </w:pPr>
  </w:style>
  <w:style w:type="character" w:styleId="aa">
    <w:name w:val="Placeholder Text"/>
    <w:rPr>
      <w:rFonts w:ascii="Times New Roman" w:eastAsia="Times New Roman" w:hAnsi="Times New Roman" w:cs="Times New Roman"/>
      <w:color w:val="808080"/>
    </w:rPr>
  </w:style>
  <w:style w:type="paragraph" w:styleId="ab">
    <w:name w:val="List Paragraph"/>
    <w:basedOn w:val="a"/>
    <w:qFormat/>
    <w:pPr>
      <w:ind w:left="720"/>
      <w:contextualSpacing/>
    </w:pPr>
  </w:style>
  <w:style w:type="paragraph" w:styleId="ac">
    <w:name w:val="Balloon Text"/>
    <w:basedOn w:val="a"/>
    <w:link w:val="ad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Pr>
      <w:rFonts w:ascii="Tahoma" w:eastAsia="Times New Roman" w:hAnsi="Tahoma" w:cs="Tahoma"/>
      <w:sz w:val="16"/>
      <w:szCs w:val="16"/>
    </w:rPr>
  </w:style>
  <w:style w:type="paragraph" w:styleId="ae">
    <w:name w:val="header"/>
    <w:basedOn w:val="a"/>
    <w:link w:val="a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Unresolved Mention"/>
    <w:rPr>
      <w:rFonts w:ascii="Times New Roman" w:eastAsia="Times New Roman" w:hAnsi="Times New Roman" w:cs="Times New Roman"/>
      <w:color w:val="605E5C"/>
      <w:shd w:val="clear" w:color="auto" w:fill="E1DFDD"/>
    </w:rPr>
  </w:style>
  <w:style w:type="character" w:customStyle="1" w:styleId="mo">
    <w:name w:val="mo"/>
    <w:basedOn w:val="a0"/>
    <w:rsid w:val="00660BCC"/>
    <w:rPr>
      <w:rFonts w:ascii="Times New Roman" w:eastAsia="Times New Roman" w:hAnsi="Times New Roman" w:cs="Times New Roman"/>
    </w:rPr>
  </w:style>
  <w:style w:type="character" w:customStyle="1" w:styleId="mi">
    <w:name w:val="mi"/>
    <w:basedOn w:val="a0"/>
    <w:rsid w:val="00660BCC"/>
    <w:rPr>
      <w:rFonts w:ascii="Times New Roman" w:eastAsia="Times New Roman" w:hAnsi="Times New Roman" w:cs="Times New Roman"/>
    </w:rPr>
  </w:style>
  <w:style w:type="character" w:customStyle="1" w:styleId="mn">
    <w:name w:val="mn"/>
    <w:basedOn w:val="a0"/>
    <w:rsid w:val="00660BCC"/>
    <w:rPr>
      <w:rFonts w:ascii="Times New Roman" w:eastAsia="Times New Roman" w:hAnsi="Times New Roman" w:cs="Times New Roman"/>
    </w:rPr>
  </w:style>
  <w:style w:type="character" w:customStyle="1" w:styleId="mtext">
    <w:name w:val="mtext"/>
    <w:basedOn w:val="a0"/>
    <w:rsid w:val="00660BC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keev.da21@physics.ms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Особенности акустического поля мощных фазированных решеток для неинвазивной ультразвуковой хирургии</vt:lpstr>
    </vt:vector>
  </TitlesOfParts>
  <Company>MSU</Company>
  <LinksUpToDate>false</LinksUpToDate>
  <CharactersWithSpaces>3870</CharactersWithSpaces>
  <SharedDoc>false</SharedDoc>
  <HLinks>
    <vt:vector size="6" baseType="variant">
      <vt:variant>
        <vt:i4>393253</vt:i4>
      </vt:variant>
      <vt:variant>
        <vt:i4>0</vt:i4>
      </vt:variant>
      <vt:variant>
        <vt:i4>0</vt:i4>
      </vt:variant>
      <vt:variant>
        <vt:i4>5</vt:i4>
      </vt:variant>
      <vt:variant>
        <vt:lpwstr>mailto:makeev.da21@physics.msu.ru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акустического поля мощных фазированных решеток для неинвазивной ультразвуковой хирургии</dc:title>
  <dc:subject/>
  <dc:creator>PR</dc:creator>
  <cp:keywords/>
  <cp:lastModifiedBy>Наталья Макеева</cp:lastModifiedBy>
  <cp:revision>5</cp:revision>
  <dcterms:created xsi:type="dcterms:W3CDTF">2024-02-28T16:45:00Z</dcterms:created>
  <dcterms:modified xsi:type="dcterms:W3CDTF">2024-02-28T16:50:00Z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d33e04bb1d5843c3b2db203a2e9831e2</vt:lpwstr>
  </property>
</Properties>
</file>