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Алгоритм расчёта термодинамического равновесия многокомпонентных углеводородных смесей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Мальцев М.И.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Студент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Московский государственный университет имени М.В.Ломоносова,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физический факультет, Москва, Россия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E-mail: maltcev.mi20@physics.msu.ru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ind w:firstLine="397" w:left="0" w:right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В рамках данной статьи рассматривается применение методов линейного программирования для расчета давления парожидкостного равновесия многокомпонентных углеводородных смесей, а также объемов газовой и жидкой фазы. </w:t>
      </w:r>
    </w:p>
    <w:p>
      <w:pPr>
        <w:pStyle w:val="Normal"/>
        <w:bidi w:val="0"/>
        <w:ind w:firstLine="397" w:left="0" w:right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Актуальность данной работы заключается в том, что анализ поведения углеводородов в пласте базируется на анализе равновесных состояний [1, </w:t>
      </w:r>
      <w:r>
        <w:rPr>
          <w:rFonts w:ascii="Times New Roman" w:hAnsi="Times New Roman"/>
          <w:i w:val="false"/>
          <w:iCs w:val="false"/>
          <w:lang w:val="en-US"/>
        </w:rPr>
        <w:t>2</w:t>
      </w:r>
      <w:r>
        <w:rPr>
          <w:rFonts w:ascii="Times New Roman" w:hAnsi="Times New Roman"/>
          <w:i w:val="false"/>
          <w:iCs w:val="false"/>
        </w:rPr>
        <w:t>]. Довольно часто в нефтегазовой отрасли поставленная проблема решается итерационным методом, что в общем случае является нелинейной задачей. Основным достоинством данной работы является то, что решается задача линейного программирования (по аналогии [</w:t>
      </w:r>
      <w:r>
        <w:rPr>
          <w:rFonts w:ascii="Times New Roman" w:hAnsi="Times New Roman"/>
          <w:i w:val="false"/>
          <w:iCs w:val="false"/>
          <w:lang w:val="en-US"/>
        </w:rPr>
        <w:t>3</w:t>
      </w:r>
      <w:r>
        <w:rPr>
          <w:rFonts w:ascii="Times New Roman" w:hAnsi="Times New Roman"/>
          <w:i w:val="false"/>
          <w:iCs w:val="false"/>
        </w:rPr>
        <w:t xml:space="preserve">] минимизируется энергия Гельмгольца). </w:t>
      </w:r>
    </w:p>
    <w:p>
      <w:pPr>
        <w:pStyle w:val="Normal"/>
        <w:bidi w:val="0"/>
        <w:ind w:firstLine="397" w:left="0" w:right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Целью данной работы является оценить то, насколько применимо использование уравнения Ван-дер-Ваальса (см. формулу (1)) для описания поведения многокомпонентных углеводородных смесей.</w:t>
      </w:r>
    </w:p>
    <w:p>
      <w:pPr>
        <w:pStyle w:val="Normal"/>
        <w:bidi w:val="0"/>
        <w:ind w:firstLine="397" w:left="0" w:right="0"/>
        <w:jc w:val="right"/>
        <w:rPr>
          <w:rFonts w:ascii="Times New Roman" w:hAnsi="Times New Roman"/>
          <w:i w:val="false"/>
          <w:i w:val="false"/>
          <w:iCs w:val="false"/>
          <w:lang w:val="en-US"/>
        </w:rPr>
      </w:pP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π</m:t>
            </m:r>
            <m:r>
              <w:rPr>
                <w:rFonts w:ascii="Cambria Math" w:hAnsi="Cambria Math"/>
              </w:rPr>
              <m:t xml:space="preserve">+</m:t>
            </m:r>
            <m:f>
              <m:num>
                <m:r>
                  <w:rPr>
                    <w:rFonts w:ascii="Cambria Math" w:hAnsi="Cambria Math"/>
                  </w:rPr>
                  <m:t xml:space="preserve">3</m:t>
                </m:r>
              </m:num>
              <m:den>
                <m:sSup>
                  <m:e>
                    <m:r>
                      <w:rPr>
                        <w:rFonts w:ascii="Cambria Math" w:hAnsi="Cambria Math"/>
                      </w:rPr>
                      <m:t xml:space="preserve">ϕ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2</m:t>
                    </m:r>
                  </m:sup>
                </m:sSup>
              </m:den>
            </m:f>
          </m:e>
        </m:d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ϕ</m:t>
            </m:r>
            <m:r>
              <w:rPr>
                <w:rFonts w:ascii="Cambria Math" w:hAnsi="Cambria Math"/>
              </w:rPr>
              <m:t xml:space="preserve">−</m:t>
            </m:r>
            <m:f>
              <m:num>
                <m:r>
                  <w:rPr>
                    <w:rFonts w:ascii="Cambria Math" w:hAnsi="Cambria Math"/>
                  </w:rPr>
                  <m:t xml:space="preserve">1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f>
              <m:num>
                <m:r>
                  <w:rPr>
                    <w:rFonts w:ascii="Cambria Math" w:hAnsi="Cambria Math"/>
                  </w:rPr>
                  <m:t xml:space="preserve">8</m:t>
                </m:r>
              </m:num>
              <m:den>
                <m:r>
                  <w:rPr>
                    <w:rFonts w:ascii="Cambria Math" w:hAnsi="Cambria Math"/>
                  </w:rPr>
                  <m:t xml:space="preserve">3</m:t>
                </m:r>
              </m:den>
            </m:f>
            <m:r>
              <w:rPr>
                <w:rFonts w:ascii="Cambria Math" w:hAnsi="Cambria Math"/>
              </w:rPr>
              <m:t xml:space="preserve">τ</m:t>
            </m:r>
          </m:e>
        </m:d>
      </m:oMath>
      <w:r>
        <w:rPr>
          <w:rFonts w:ascii="Times New Roman" w:hAnsi="Times New Roman"/>
          <w:i w:val="false"/>
          <w:iCs w:val="false"/>
          <w:lang w:val="en-US"/>
        </w:rPr>
        <w:t xml:space="preserve">                                                </w:t>
      </w:r>
      <w:r>
        <w:rPr>
          <w:rFonts w:ascii="Times New Roman" w:hAnsi="Times New Roman"/>
          <w:i w:val="false"/>
          <w:iCs w:val="false"/>
          <w:lang w:val="en-US"/>
        </w:rPr>
        <w:t xml:space="preserve">(1) </w:t>
      </w:r>
    </w:p>
    <w:p>
      <w:pPr>
        <w:pStyle w:val="Normal"/>
        <w:bidi w:val="0"/>
        <w:ind w:firstLine="397" w:left="0" w:right="0"/>
        <w:jc w:val="right"/>
        <w:rPr>
          <w:rFonts w:ascii="Times New Roman" w:hAnsi="Times New Roman"/>
          <w:i w:val="false"/>
          <w:i w:val="false"/>
          <w:iCs w:val="false"/>
          <w:lang w:val="en-US"/>
        </w:rPr>
      </w:pPr>
      <w:r>
        <w:rPr>
          <w:rFonts w:ascii="Times New Roman" w:hAnsi="Times New Roman"/>
          <w:i w:val="false"/>
          <w:iCs w:val="false"/>
          <w:lang w:val="en-US"/>
        </w:rPr>
      </w:r>
    </w:p>
    <w:p>
      <w:pPr>
        <w:pStyle w:val="Normal"/>
        <w:bidi w:val="0"/>
        <w:ind w:firstLine="397" w:left="0" w:right="0"/>
        <w:jc w:val="center"/>
        <w:rPr>
          <w:rFonts w:ascii="Times New Roman" w:hAnsi="Times New Roman"/>
          <w:i w:val="false"/>
          <w:i w:val="false"/>
          <w:iCs w:val="false"/>
          <w:lang w:val="en-US"/>
        </w:rPr>
      </w:pPr>
      <w:r>
        <w:rPr/>
        <w:drawing>
          <wp:inline distT="0" distB="0" distL="0" distR="0">
            <wp:extent cx="3061970" cy="31642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  <w:b/>
          <w:bCs/>
          <w:i/>
          <w:i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Рис. 1. </w:t>
      </w:r>
      <w:r>
        <w:rPr>
          <w:rFonts w:ascii="Times New Roman" w:hAnsi="Times New Roman"/>
          <w:b w:val="false"/>
          <w:bCs w:val="false"/>
          <w:i w:val="false"/>
          <w:iCs w:val="false"/>
          <w:lang w:val="ru-RU"/>
        </w:rPr>
        <w:t>Блок-схема используемого алгоритма</w:t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/>
          <w:b/>
          <w:bCs/>
          <w:i/>
          <w:i/>
          <w:iCs/>
          <w:lang w:val="ru-RU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</w:rPr>
        <w:t>Литература</w:t>
      </w:r>
    </w:p>
    <w:p>
      <w:pPr>
        <w:pStyle w:val="Normal"/>
        <w:bidi w:val="0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1. Брусиловский А.И. Фазовые превращения при разработке месторождений нефти и газа. М.: Грааль, 2002. </w:t>
      </w:r>
    </w:p>
    <w:p>
      <w:pPr>
        <w:pStyle w:val="Normal"/>
        <w:bidi w:val="0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lang w:val="en-US"/>
        </w:rPr>
        <w:t>2</w:t>
      </w:r>
      <w:r>
        <w:rPr>
          <w:rFonts w:ascii="Times New Roman" w:hAnsi="Times New Roman"/>
          <w:i w:val="false"/>
          <w:iCs w:val="false"/>
        </w:rPr>
        <w:t>. Гиматудинов Ш.К. Физика нефтяного и газового пласта. М.: Недра, 1971.</w:t>
      </w:r>
    </w:p>
    <w:p>
      <w:pPr>
        <w:pStyle w:val="Normal"/>
        <w:bidi w:val="0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lang w:val="en-US"/>
        </w:rPr>
        <w:t>3</w:t>
      </w:r>
      <w:r>
        <w:rPr>
          <w:rFonts w:ascii="Times New Roman" w:hAnsi="Times New Roman"/>
          <w:i w:val="false"/>
          <w:iCs w:val="false"/>
        </w:rPr>
        <w:t>. Исаева А.В., Доброжанский В.А., Хакимова Л.А., Подладчиков Ю.Ю. Численное моделирование фазовых равновесий многокомпонентных углеводородных смесей с помощью прямой минимизации энергии // Газовая промышленность, 2021. УДК 544.344+519.85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LibreOffice/7.6.5.2$Windows_X86_64 LibreOffice_project/38d5f62f85355c192ef5f1dd47c5c0c0c6d6598b</Application>
  <AppVersion>15.0000</AppVersion>
  <Pages>1</Pages>
  <Words>177</Words>
  <Characters>1364</Characters>
  <CharactersWithSpaces>1578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2024-04-04T16:46:04Z</dcterms:created>
  <dc:creator/>
  <dc:description/>
  <dc:language>ru-RU</dc:language>
  <cp:lastModifiedBy/>
  <dcterms:modified xsi:type="dcterms:W3CDTF">2024-04-04T17:14:36Z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