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4"/>
        </w:tabs>
        <w:spacing w:line="240" w:lineRule="auto"/>
        <w:ind w:left="0" w:firstLine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4"/>
        </w:tabs>
        <w:spacing w:line="240" w:lineRule="auto"/>
        <w:ind w:left="0" w:firstLine="0"/>
        <w:jc w:val="center"/>
        <w:rPr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Энтальпийные и энтропийные факторы, влияющие на распределения размеров агрегатов биологических макромолекул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426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Василенко</w:t>
      </w:r>
      <w:r w:rsidDel="00000000" w:rsidR="00000000" w:rsidRPr="00000000">
        <w:rPr>
          <w:b w:val="1"/>
          <w:i w:val="1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Е</w:t>
      </w:r>
      <w:r w:rsidDel="00000000" w:rsidR="00000000" w:rsidRPr="00000000">
        <w:rPr>
          <w:b w:val="1"/>
          <w:i w:val="1"/>
          <w:color w:val="000000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О</w:t>
      </w:r>
      <w:r w:rsidDel="00000000" w:rsidR="00000000" w:rsidRPr="00000000">
        <w:rPr>
          <w:b w:val="1"/>
          <w:i w:val="1"/>
          <w:color w:val="000000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426"/>
        <w:jc w:val="center"/>
        <w:rPr>
          <w:i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i w:val="1"/>
          <w:color w:val="000000"/>
          <w:sz w:val="24"/>
          <w:szCs w:val="24"/>
          <w:highlight w:val="white"/>
          <w:rtl w:val="0"/>
        </w:rPr>
        <w:t xml:space="preserve">студент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firstLine="426"/>
        <w:jc w:val="center"/>
        <w:rPr>
          <w:i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Московский физико-технический институт</w:t>
      </w:r>
      <w:r w:rsidDel="00000000" w:rsidR="00000000" w:rsidRPr="00000000">
        <w:rPr>
          <w:i w:val="1"/>
          <w:color w:val="000000"/>
          <w:sz w:val="24"/>
          <w:szCs w:val="24"/>
          <w:highlight w:val="white"/>
          <w:rtl w:val="0"/>
        </w:rPr>
        <w:t xml:space="preserve">, </w:t>
        <w:br w:type="textWrapping"/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физтех-школа биологической и медицинской физики</w:t>
      </w:r>
      <w:r w:rsidDel="00000000" w:rsidR="00000000" w:rsidRPr="00000000">
        <w:rPr>
          <w:i w:val="1"/>
          <w:color w:val="000000"/>
          <w:sz w:val="24"/>
          <w:szCs w:val="24"/>
          <w:highlight w:val="white"/>
          <w:rtl w:val="0"/>
        </w:rPr>
        <w:t xml:space="preserve">, Москва, Россия</w:t>
        <w:br w:type="textWrapping"/>
        <w:t xml:space="preserve">E–mail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: </w:t>
      </w:r>
      <w:hyperlink r:id="rId7">
        <w:r w:rsidDel="00000000" w:rsidR="00000000" w:rsidRPr="00000000">
          <w:rPr>
            <w:i w:val="1"/>
            <w:color w:val="1155cc"/>
            <w:sz w:val="24"/>
            <w:szCs w:val="24"/>
            <w:highlight w:val="white"/>
            <w:u w:val="single"/>
            <w:rtl w:val="0"/>
          </w:rPr>
          <w:t xml:space="preserve">vasilenko.eo@phystech.edu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Предложена термодинамическая модель, описывающая формирование линейных агрегатов, состоящих, как это принято в теории адсорбции [3], из стопок </w:t>
      </w:r>
      <w:r w:rsidDel="00000000" w:rsidR="00000000" w:rsidRPr="00000000">
        <w:rPr>
          <w:sz w:val="24"/>
          <w:szCs w:val="24"/>
          <w:rtl w:val="0"/>
        </w:rPr>
        <w:t xml:space="preserve">слоёв</w:t>
      </w:r>
      <w:r w:rsidDel="00000000" w:rsidR="00000000" w:rsidRPr="00000000">
        <w:rPr>
          <w:sz w:val="24"/>
          <w:szCs w:val="24"/>
          <w:rtl w:val="0"/>
        </w:rPr>
        <w:t xml:space="preserve"> мономеров. Рассматриваются случаи, когда они состоят из пептидов в одной или в двух конформациях, например, бета-амилоидов. Модель использует большую статистическую сумму, описывающую ансамбль агрегатов; такой подход позволяет, используя известные соотношения статистической физики, сразу же вычислять средние значения и дисперсии распределений размеров агрегатов и их фрагментов, а также энтропии их ансамблей (рис. 2).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Из теории многослойной адсорбции и классической теории полимеризации Флори [4] следует, что доля агрегатов из </w:t>
      </w:r>
      <m:oMath>
        <m:r>
          <w:rPr>
            <w:sz w:val="24"/>
            <w:szCs w:val="24"/>
          </w:rPr>
          <m:t xml:space="preserve">N</m:t>
        </m:r>
      </m:oMath>
      <w:r w:rsidDel="00000000" w:rsidR="00000000" w:rsidRPr="00000000">
        <w:rPr>
          <w:sz w:val="24"/>
          <w:szCs w:val="24"/>
          <w:rtl w:val="0"/>
        </w:rPr>
        <w:t xml:space="preserve"> мономеров </w:t>
      </w:r>
      <m:oMath>
        <m:r>
          <w:rPr>
            <w:sz w:val="24"/>
            <w:szCs w:val="24"/>
          </w:rPr>
          <m:t xml:space="preserve">P(N)</m:t>
        </m:r>
      </m:oMath>
      <w:r w:rsidDel="00000000" w:rsidR="00000000" w:rsidRPr="00000000">
        <w:rPr>
          <w:sz w:val="24"/>
          <w:szCs w:val="24"/>
          <w:rtl w:val="0"/>
        </w:rPr>
        <w:t xml:space="preserve"> — монотонно убывающая функция. Однако измерения размеров пептидных агрегатов методами атомно-силовой микроскопии [7], хроматографии [5] и проточного двойного лучепреломления [6] показали, что функции распределения не монотонно убывают, а содержат максимумы. Чтобы разрешить это противоречие, была введена поправка, учитывающая разнообразие агрегатов — если связи между мономерами могут образовываться не одним, а хотя бы двумя способами, то более длинные агрегаты образуются большим числом способов, что приводит к увеличению их доли за </w:t>
      </w:r>
      <w:r w:rsidDel="00000000" w:rsidR="00000000" w:rsidRPr="00000000">
        <w:rPr>
          <w:sz w:val="24"/>
          <w:szCs w:val="24"/>
          <w:rtl w:val="0"/>
        </w:rPr>
        <w:t xml:space="preserve">счёт</w:t>
      </w:r>
      <w:r w:rsidDel="00000000" w:rsidR="00000000" w:rsidRPr="00000000">
        <w:rPr>
          <w:sz w:val="24"/>
          <w:szCs w:val="24"/>
          <w:rtl w:val="0"/>
        </w:rPr>
        <w:t xml:space="preserve"> энтропийного вклада. Однако в области очень больших размеров снова наблюдается почти экспоненциальный спад функции распределения, потому что слабые нековалентные связи между пептидами в агрегатах не позволяют сдвигать равновесие в пользу слишком больших агрегатов (рис. 1) [1]. Другая модификация модели учитывает начальные участки экспериментальных кривых распределений, которые указывают на особенности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образования небольших агрегатов и основана на распределении Пуассона (рис. 3).</w:t>
      </w:r>
    </w:p>
    <w:p w:rsidR="00000000" w:rsidDel="00000000" w:rsidP="00000000" w:rsidRDefault="00000000" w:rsidRPr="00000000" w14:paraId="00000009">
      <w:pPr>
        <w:spacing w:line="240" w:lineRule="auto"/>
        <w:ind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Теоретические распределения размеров агрегатов приближают экспериментальные с RSS &gt; 0.9. При реалистичном предположении о 4-9 пептидах в сечении агрегата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 размере пептида порядка 3 нм были получены оценки свободной энергии агрегации в расчёте на один мономер порядка 5-6 ккал / моль, что согласуется с молекулярно-динамическими </w:t>
      </w:r>
      <w:r w:rsidDel="00000000" w:rsidR="00000000" w:rsidRPr="00000000">
        <w:rPr>
          <w:sz w:val="24"/>
          <w:szCs w:val="24"/>
          <w:rtl w:val="0"/>
        </w:rPr>
        <w:t xml:space="preserve">расчётами</w:t>
      </w:r>
      <w:r w:rsidDel="00000000" w:rsidR="00000000" w:rsidRPr="00000000">
        <w:rPr>
          <w:sz w:val="24"/>
          <w:szCs w:val="24"/>
          <w:rtl w:val="0"/>
        </w:rPr>
        <w:t xml:space="preserve"> энергии взаимодействия </w:t>
      </w:r>
      <w:r w:rsidDel="00000000" w:rsidR="00000000" w:rsidRPr="00000000">
        <w:rPr>
          <w:sz w:val="24"/>
          <w:szCs w:val="24"/>
          <w:rtl w:val="0"/>
        </w:rPr>
        <w:t xml:space="preserve">бета-</w:t>
      </w:r>
      <w:r w:rsidDel="00000000" w:rsidR="00000000" w:rsidRPr="00000000">
        <w:rPr>
          <w:sz w:val="24"/>
          <w:szCs w:val="24"/>
          <w:rtl w:val="0"/>
        </w:rPr>
        <w:t xml:space="preserve">слоёв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исследуемых пептидов [2].</w:t>
      </w:r>
    </w:p>
    <w:p w:rsidR="00000000" w:rsidDel="00000000" w:rsidP="00000000" w:rsidRDefault="00000000" w:rsidRPr="00000000" w14:paraId="0000000A">
      <w:pPr>
        <w:spacing w:line="240" w:lineRule="auto"/>
        <w:ind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Работа выполнена при поддержке гранта РНФ № 19-74-30007.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520000" cy="1890000"/>
            <wp:effectExtent b="0" l="0" r="0" t="0"/>
            <wp:docPr id="103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9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firstLine="426"/>
        <w:jc w:val="both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Рис. 1.</w:t>
      </w:r>
      <w:r w:rsidDel="00000000" w:rsidR="00000000" w:rsidRPr="00000000">
        <w:rPr>
          <w:sz w:val="24"/>
          <w:szCs w:val="24"/>
          <w:rtl w:val="0"/>
        </w:rPr>
        <w:t xml:space="preserve"> Теоретические распределения агрегатов по размерам, </w:t>
      </w:r>
      <m:oMath>
        <m:r>
          <w:rPr>
            <w:sz w:val="24"/>
            <w:szCs w:val="24"/>
          </w:rPr>
          <m:t xml:space="preserve">k</m:t>
        </m:r>
      </m:oMath>
      <w:r w:rsidDel="00000000" w:rsidR="00000000" w:rsidRPr="00000000">
        <w:rPr>
          <w:sz w:val="24"/>
          <w:szCs w:val="24"/>
          <w:rtl w:val="0"/>
        </w:rPr>
        <w:t xml:space="preserve"> — количество </w:t>
      </w:r>
      <w:r w:rsidDel="00000000" w:rsidR="00000000" w:rsidRPr="00000000">
        <w:rPr>
          <w:sz w:val="24"/>
          <w:szCs w:val="24"/>
          <w:rtl w:val="0"/>
        </w:rPr>
        <w:t xml:space="preserve">слоёв</w:t>
      </w:r>
      <w:r w:rsidDel="00000000" w:rsidR="00000000" w:rsidRPr="00000000">
        <w:rPr>
          <w:sz w:val="24"/>
          <w:szCs w:val="24"/>
          <w:rtl w:val="0"/>
        </w:rPr>
        <w:t xml:space="preserve"> в агрегате.</w:t>
      </w:r>
    </w:p>
    <w:p w:rsidR="00000000" w:rsidDel="00000000" w:rsidP="00000000" w:rsidRDefault="00000000" w:rsidRPr="00000000" w14:paraId="0000000D">
      <w:pPr>
        <w:spacing w:line="240" w:lineRule="auto"/>
        <w:ind w:firstLine="426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520000" cy="1537200"/>
            <wp:effectExtent b="0" l="0" r="0" t="0"/>
            <wp:docPr id="103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53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520000" cy="1537200"/>
            <wp:effectExtent b="0" l="0" r="0" t="0"/>
            <wp:docPr id="103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53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firstLine="426"/>
        <w:jc w:val="both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Рис. 2.</w:t>
      </w:r>
      <w:r w:rsidDel="00000000" w:rsidR="00000000" w:rsidRPr="00000000">
        <w:rPr>
          <w:sz w:val="24"/>
          <w:szCs w:val="24"/>
          <w:rtl w:val="0"/>
        </w:rPr>
        <w:t xml:space="preserve"> Зависимости </w:t>
      </w:r>
      <w:r w:rsidDel="00000000" w:rsidR="00000000" w:rsidRPr="00000000">
        <w:rPr>
          <w:sz w:val="24"/>
          <w:szCs w:val="24"/>
          <w:rtl w:val="0"/>
        </w:rPr>
        <w:t xml:space="preserve">приведённой</w:t>
      </w:r>
      <w:r w:rsidDel="00000000" w:rsidR="00000000" w:rsidRPr="00000000">
        <w:rPr>
          <w:sz w:val="24"/>
          <w:szCs w:val="24"/>
          <w:rtl w:val="0"/>
        </w:rPr>
        <w:t xml:space="preserve"> энтропии ансамбля агрегатов от констант ассоциации при разных параметрах модели.</w:t>
      </w:r>
    </w:p>
    <w:p w:rsidR="00000000" w:rsidDel="00000000" w:rsidP="00000000" w:rsidRDefault="00000000" w:rsidRPr="00000000" w14:paraId="0000000F">
      <w:pPr>
        <w:spacing w:line="240" w:lineRule="auto"/>
        <w:ind w:firstLine="426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520000" cy="1888444"/>
            <wp:effectExtent b="0" l="0" r="0" t="0"/>
            <wp:docPr id="103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884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426"/>
        <w:jc w:val="both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Рис. 3.</w:t>
      </w:r>
      <w:r w:rsidDel="00000000" w:rsidR="00000000" w:rsidRPr="00000000">
        <w:rPr>
          <w:sz w:val="24"/>
          <w:szCs w:val="24"/>
          <w:rtl w:val="0"/>
        </w:rPr>
        <w:t xml:space="preserve"> Зависимости среднего размера неупорядоченной части агрегата от размера целого агрегата в предлагаемой модели при разных значениях параметра модели, характеризующего вероятность перехода от неупорядоченной фазы агрегата к упорядоченной. Пунктиром обозначены асимптоты этих зависимостей.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426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color w:val="000000"/>
          <w:sz w:val="24"/>
          <w:szCs w:val="24"/>
          <w:highlight w:val="white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28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Термодинамическая модель образования белковых линейных агрегатов на матрице / Е. О. Василенко, С. А. Козин, В. А. Митькевич [и др.] // Биофизика. – 2023. – Т. 68, № 6. – С. 1128-1140. – DOI 10.31857/S0006302923060042. – EDN RVOCJF.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28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Bellesia G., Shea J. E. Effect of β-sheet propensity on peptide aggregation //The Journal of Chemical Physics. – 2009. – Т. 130. – №. 14.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28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Brunauer S., Emmett P. H., Teller E. Adsorption of gases in multimolecular layers //Journal of the American chemical society. – 1938. – Т. 60. – №. 2. – С. 309-319.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28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Flory P. J. Molecular size distribution in linear condensation polymers1 //Journal of the American Chemical Society. – 1936. – Т. 58. – №. 10. – С. 1877-1885.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28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Nichols M. R. et al. Biophysical comparison of soluble amyloid-β (1–42) protofibrils, oligomers, and protofilaments //Biochemistry. – 2015. – Т. 54. – №. 13. – С. 2193-2204.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28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Rogers S. S. et al. Measuring the length distribution of a fibril system: a flow birefringence technique applied to amyloid fibrils //Macromolecules. – 2005. – Т. 38. – №. 7. – С. 2948-2958.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28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Xue W. F., Homans S. W., Radford S. E. Amyloid fibril length distribution quantified by atomic force microscopy single-particle image analysis //Protein Engineering, Design &amp; Selection. – 2009. – Т. 22. – №. 8. – С. 489-496.</w:t>
      </w:r>
    </w:p>
    <w:sectPr>
      <w:footerReference r:id="rId12" w:type="default"/>
      <w:footerReference r:id="rId13" w:type="even"/>
      <w:pgSz w:h="16838" w:w="11906" w:orient="portrait"/>
      <w:pgMar w:bottom="1247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360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360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928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" w:customStyle="1">
    <w:name w:val="Обычный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  <w:lang w:eastAsia="ru-RU" w:val="ru-RU"/>
    </w:rPr>
  </w:style>
  <w:style w:type="paragraph" w:styleId="2" w:customStyle="1">
    <w:name w:val="Заголовок 2"/>
    <w:basedOn w:val="a"/>
    <w:next w:val="a"/>
    <w:pPr>
      <w:keepNext w:val="1"/>
      <w:pageBreakBefore w:val="1"/>
      <w:spacing w:after="120" w:line="360" w:lineRule="auto"/>
      <w:ind w:firstLine="709"/>
      <w:jc w:val="center"/>
      <w:outlineLvl w:val="1"/>
    </w:pPr>
    <w:rPr>
      <w:b w:val="1"/>
      <w:bCs w:val="1"/>
      <w:iCs w:val="1"/>
      <w:sz w:val="28"/>
      <w:szCs w:val="28"/>
    </w:rPr>
  </w:style>
  <w:style w:type="character" w:styleId="a0" w:customStyle="1">
    <w:name w:val="Основной шрифт абзаца"/>
    <w:qFormat w:val="1"/>
    <w:rPr>
      <w:w w:val="100"/>
      <w:position w:val="-1"/>
      <w:effect w:val="none"/>
      <w:vertAlign w:val="baseline"/>
      <w:cs w:val="0"/>
      <w:em w:val="none"/>
    </w:rPr>
  </w:style>
  <w:style w:type="table" w:styleId="a1" w:customStyle="1">
    <w:name w:val="Обычная таблица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customStyle="1">
    <w:name w:val="Нет списка"/>
    <w:qFormat w:val="1"/>
  </w:style>
  <w:style w:type="character" w:styleId="a3" w:customStyle="1">
    <w:name w:val="Выделение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4" w:customStyle="1">
    <w:name w:val="Гипер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 w:customStyle="1">
    <w:name w:val="Без интервала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ru-RU"/>
    </w:rPr>
  </w:style>
  <w:style w:type="character" w:styleId="a6" w:customStyle="1">
    <w:name w:val="Без интервала Знак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20" w:customStyle="1">
    <w:name w:val="Заголовок 2 Знак"/>
    <w:rPr>
      <w:b w:val="1"/>
      <w:bCs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paragraph" w:styleId="a7" w:customStyle="1">
    <w:name w:val="Обычный (веб)"/>
    <w:basedOn w:val="a"/>
    <w:qFormat w:val="1"/>
    <w:pPr>
      <w:spacing w:after="100" w:afterAutospacing="1" w:before="100" w:beforeAutospacing="1"/>
    </w:pPr>
  </w:style>
  <w:style w:type="paragraph" w:styleId="a8" w:customStyle="1">
    <w:name w:val="Нижний колонтитул"/>
    <w:basedOn w:val="a"/>
  </w:style>
  <w:style w:type="character" w:styleId="a9" w:customStyle="1">
    <w:name w:val="Номер страницы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a" w:customStyle="1">
    <w:name w:val="Замещающий текст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ab" w:customStyle="1">
    <w:name w:val="Абзац списка"/>
    <w:basedOn w:val="a"/>
    <w:pPr>
      <w:ind w:left="720"/>
      <w:contextualSpacing w:val="1"/>
    </w:pPr>
  </w:style>
  <w:style w:type="paragraph" w:styleId="ac" w:customStyle="1">
    <w:name w:val="Текст выноски"/>
    <w:basedOn w:val="a"/>
    <w:rPr>
      <w:rFonts w:ascii="Tahoma" w:hAnsi="Tahoma"/>
      <w:sz w:val="16"/>
      <w:szCs w:val="16"/>
    </w:rPr>
  </w:style>
  <w:style w:type="character" w:styleId="ad" w:customStyle="1">
    <w:name w:val="Текст выноски Знак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e" w:customStyle="1">
    <w:name w:val="Верхний колонтитул"/>
    <w:basedOn w:val="a"/>
    <w:qFormat w:val="1"/>
    <w:pPr>
      <w:tabs>
        <w:tab w:val="center" w:pos="4677"/>
        <w:tab w:val="right" w:pos="9355"/>
      </w:tabs>
    </w:pPr>
  </w:style>
  <w:style w:type="character" w:styleId="af" w:customStyle="1">
    <w:name w:val="Верхний колонтитул Знак"/>
    <w:basedOn w:val="a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C33C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C33CB"/>
    <w:rPr>
      <w:rFonts w:ascii="Tahoma" w:cs="Tahoma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C3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FC33CB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FC33CB"/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C33C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C33CB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asilenko.eo@phystech.edu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i37S6r329m9tLnNZZpToO9fHHg==">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2024-02-16T07:56:00Z</dcterms:created>
  <dc:creator>PR</dc:creator>
</cp:coreProperties>
</file>