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Пространственные глаголы в произведениях К.Паустовского: проблемы перевода на китайский язык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Лю Цзилинь</w:t>
      </w:r>
    </w:p>
    <w:p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</w:p>
    <w:p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М.В.Ломоносова</w:t>
      </w:r>
    </w:p>
    <w:p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Высшая школа перевода (факультет), Москва, Россия</w:t>
      </w:r>
    </w:p>
    <w:p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de-DE" w:eastAsia="zh-CN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t>E-mail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  <w:lang w:val="de-DE" w:eastAsia="zh-CN"/>
        </w:rPr>
        <w:t>vitya.lyu.18@bk.ru</w:t>
      </w:r>
    </w:p>
    <w:p>
      <w:pPr>
        <w:pStyle w:val="8"/>
        <w:shd w:val="clear" w:color="auto" w:fill="FFFFFF"/>
        <w:topLinePunct/>
        <w:spacing w:before="0" w:beforeAutospacing="0" w:after="0" w:afterAutospacing="0"/>
        <w:ind w:firstLine="397"/>
        <w:jc w:val="both"/>
        <w:rPr>
          <w:lang w:val="ru-RU"/>
        </w:rPr>
      </w:pPr>
      <w:r>
        <w:rPr>
          <w:rFonts w:eastAsia="Times New Roman"/>
          <w:lang w:val="ru-RU" w:bidi="ar"/>
        </w:rPr>
        <w:t xml:space="preserve">В нашем исследовании рассматриваются проблемы представления категории пространства в философии, науке и языкознании. Установлено, что </w:t>
      </w:r>
      <w:r>
        <w:rPr>
          <w:lang w:val="ru-RU"/>
        </w:rPr>
        <w:t>категория «пространство» в</w:t>
      </w:r>
      <w:r>
        <w:rPr>
          <w:spacing w:val="1"/>
          <w:lang w:val="ru-RU"/>
        </w:rPr>
        <w:t xml:space="preserve"> </w:t>
      </w:r>
      <w:r>
        <w:rPr>
          <w:lang w:val="ru-RU"/>
        </w:rPr>
        <w:t>системе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наук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представляет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собой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емкое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понятие,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-6"/>
          <w:lang w:val="ru-RU"/>
        </w:rPr>
        <w:t xml:space="preserve"> </w:t>
      </w:r>
      <w:r>
        <w:rPr>
          <w:lang w:val="ru-RU"/>
        </w:rPr>
        <w:t>ее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основе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лежат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логико-</w:t>
      </w:r>
      <w:r>
        <w:rPr>
          <w:spacing w:val="-48"/>
          <w:lang w:val="ru-RU"/>
        </w:rPr>
        <w:t xml:space="preserve"> </w:t>
      </w:r>
      <w:r>
        <w:rPr>
          <w:lang w:val="ru-RU"/>
        </w:rPr>
        <w:t>философская,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психологическая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естественнонаучная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сущности.</w:t>
      </w:r>
    </w:p>
    <w:p>
      <w:pPr>
        <w:pStyle w:val="8"/>
        <w:shd w:val="clear" w:color="auto" w:fill="FFFFFF"/>
        <w:topLinePunct/>
        <w:spacing w:before="0" w:beforeAutospacing="0" w:after="0" w:afterAutospacing="0"/>
        <w:ind w:firstLine="397"/>
        <w:jc w:val="both"/>
        <w:rPr>
          <w:lang w:val="ru-RU"/>
        </w:rPr>
      </w:pPr>
      <w:r>
        <w:rPr>
          <w:lang w:val="ru-RU"/>
        </w:rPr>
        <w:t>Языковая картина мира определяет роль пространства с точки зрения его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значимости</w:t>
      </w:r>
      <w:r>
        <w:rPr>
          <w:spacing w:val="-12"/>
          <w:lang w:val="ru-RU"/>
        </w:rPr>
        <w:t xml:space="preserve"> </w:t>
      </w:r>
      <w:r>
        <w:rPr>
          <w:lang w:val="ru-RU"/>
        </w:rPr>
        <w:t>в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обыденной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жизни</w:t>
      </w:r>
      <w:r>
        <w:rPr>
          <w:spacing w:val="-1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10"/>
          <w:lang w:val="ru-RU"/>
        </w:rPr>
        <w:t xml:space="preserve"> </w:t>
      </w:r>
      <w:r>
        <w:rPr>
          <w:lang w:val="ru-RU"/>
        </w:rPr>
        <w:t>взаимодействия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с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ним</w:t>
      </w:r>
      <w:r>
        <w:rPr>
          <w:spacing w:val="-8"/>
          <w:lang w:val="ru-RU"/>
        </w:rPr>
        <w:t xml:space="preserve"> </w:t>
      </w:r>
      <w:r>
        <w:rPr>
          <w:lang w:val="ru-RU"/>
        </w:rPr>
        <w:t>человека,</w:t>
      </w:r>
      <w:r>
        <w:rPr>
          <w:spacing w:val="-9"/>
          <w:lang w:val="ru-RU"/>
        </w:rPr>
        <w:t xml:space="preserve"> </w:t>
      </w:r>
      <w:r>
        <w:rPr>
          <w:lang w:val="ru-RU"/>
        </w:rPr>
        <w:t>при</w:t>
      </w:r>
      <w:r>
        <w:rPr>
          <w:spacing w:val="-12"/>
          <w:lang w:val="ru-RU"/>
        </w:rPr>
        <w:t xml:space="preserve"> </w:t>
      </w:r>
      <w:r>
        <w:rPr>
          <w:lang w:val="ru-RU"/>
        </w:rPr>
        <w:t>этом</w:t>
      </w:r>
      <w:r>
        <w:rPr>
          <w:spacing w:val="-47"/>
          <w:lang w:val="ru-RU"/>
        </w:rPr>
        <w:t xml:space="preserve"> </w:t>
      </w:r>
      <w:r>
        <w:rPr>
          <w:spacing w:val="-1"/>
          <w:lang w:val="ru-RU"/>
        </w:rPr>
        <w:t xml:space="preserve">внимание уделяется размерам, границам, </w:t>
      </w:r>
      <w:r>
        <w:rPr>
          <w:lang w:val="ru-RU"/>
        </w:rPr>
        <w:t xml:space="preserve">объемам пространства. 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Основой для выражения категории пространства в языке является категория бытийности. Категория бытийности рассматривается лингвистами как семантическая категория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объединяющая различные варианты значений существования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бытия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наличия. Прибегая к бытийным предложениям, русский язык моделирует сообщения о микромире по типу сообщений о макромире. Бытийное построение высказывания предполагает опредмечивание всех компонентов того мира, о котором делается сообщение, в том числе явлений, процессов, событий и переживаний, свойств характера и внутренних состояний. Микромир человека в бытийных предложениях, таким образом, пропускается через призму предметности.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нашем исследовании рассматриваются особенности функционирования пространственных глаголов в произведениях Константина Георгиевича Паустовского. Мы разделили пространственные глаголы на две лексико-семантические группы: 1) экзистенциальные глаголы и 2) глаголы положения в пространстве. </w:t>
      </w:r>
    </w:p>
    <w:p>
      <w:pPr>
        <w:pStyle w:val="9"/>
        <w:widowControl w:val="0"/>
        <w:numPr>
          <w:ilvl w:val="0"/>
          <w:numId w:val="1"/>
        </w:numPr>
        <w:tabs>
          <w:tab w:val="left" w:pos="775"/>
        </w:tabs>
        <w:autoSpaceDE w:val="0"/>
        <w:autoSpaceDN w:val="0"/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Экзистенциальные глаголы бывают двух видов: а) указывающие  </w:t>
      </w:r>
      <w:r>
        <w:rPr>
          <w:rFonts w:ascii="Times New Roman" w:hAnsi="Times New Roman"/>
          <w:color w:val="230E0E"/>
          <w:sz w:val="24"/>
          <w:szCs w:val="24"/>
        </w:rPr>
        <w:t xml:space="preserve">в самой общей форме на местонахождение и наличие объекта: </w:t>
      </w:r>
      <w:r>
        <w:rPr>
          <w:rFonts w:ascii="Times New Roman" w:hAnsi="Times New Roman"/>
          <w:i/>
          <w:color w:val="230E0E"/>
          <w:sz w:val="24"/>
          <w:szCs w:val="24"/>
        </w:rPr>
        <w:t xml:space="preserve">существовать, помещаться, иметься, бывать, наличествовать, встречаться, присутствовать, отсутствовать, бытовать, жить, ютиться </w:t>
      </w:r>
      <w:r>
        <w:rPr>
          <w:rFonts w:ascii="Times New Roman" w:hAnsi="Times New Roman"/>
          <w:color w:val="230E0E"/>
          <w:sz w:val="24"/>
          <w:szCs w:val="24"/>
        </w:rPr>
        <w:t xml:space="preserve">и др.; б) выражающие способ существования </w:t>
      </w:r>
      <w:r>
        <w:rPr>
          <w:rFonts w:ascii="Times New Roman" w:hAnsi="Times New Roman"/>
          <w:i/>
          <w:color w:val="230E0E"/>
          <w:sz w:val="24"/>
          <w:szCs w:val="24"/>
        </w:rPr>
        <w:t>водиться (о животных), расти (о растениях), гореть (об огне), зиять (о дыре), журчать (о ручье), течь (о реке)</w:t>
      </w:r>
      <w:r>
        <w:rPr>
          <w:rFonts w:ascii="Times New Roman" w:hAnsi="Times New Roman"/>
          <w:color w:val="230E0E"/>
          <w:sz w:val="24"/>
          <w:szCs w:val="24"/>
        </w:rPr>
        <w:t>.</w:t>
      </w:r>
    </w:p>
    <w:p>
      <w:pPr>
        <w:pStyle w:val="8"/>
        <w:numPr>
          <w:ilvl w:val="0"/>
          <w:numId w:val="1"/>
        </w:numPr>
        <w:shd w:val="clear" w:color="auto" w:fill="FFFFFF"/>
        <w:topLinePunct/>
        <w:spacing w:before="0" w:beforeAutospacing="0" w:after="0" w:afterAutospacing="0"/>
        <w:ind w:left="0" w:firstLine="397"/>
        <w:jc w:val="both"/>
        <w:rPr>
          <w:rFonts w:eastAsia="Times New Roman"/>
          <w:b/>
          <w:lang w:val="ru-RU" w:bidi="ar"/>
        </w:rPr>
      </w:pPr>
      <w:r>
        <w:rPr>
          <w:rFonts w:eastAsia="Microsoft YaHei"/>
          <w:b/>
          <w:shd w:val="clear" w:color="auto" w:fill="FFFFFF"/>
        </w:rPr>
        <w:t>Глаголы пространственного положения предмета</w:t>
      </w:r>
      <w:r>
        <w:rPr>
          <w:rFonts w:eastAsia="Microsoft YaHei"/>
          <w:b/>
          <w:shd w:val="clear" w:color="auto" w:fill="FFFFFF"/>
          <w:lang w:val="ru-RU"/>
        </w:rPr>
        <w:t>.</w:t>
      </w:r>
    </w:p>
    <w:p>
      <w:pPr>
        <w:pStyle w:val="8"/>
        <w:shd w:val="clear" w:color="auto" w:fill="FFFFFF"/>
        <w:topLinePunct/>
        <w:spacing w:before="0" w:beforeAutospacing="0" w:after="0" w:afterAutospacing="0"/>
        <w:ind w:firstLine="397"/>
        <w:jc w:val="both"/>
        <w:rPr>
          <w:rFonts w:eastAsiaTheme="minorEastAsia"/>
          <w:lang w:val="ru-RU" w:bidi="ar"/>
        </w:rPr>
      </w:pPr>
      <w:r>
        <w:rPr>
          <w:rFonts w:eastAsia="Times New Roman"/>
          <w:lang w:val="ru-RU" w:bidi="ar"/>
        </w:rPr>
        <w:t>Эти глаголы могут характеризовать положение предмета как горизонтальное или вертикальное:</w:t>
      </w:r>
      <w:bookmarkStart w:id="1" w:name="_GoBack"/>
      <w:bookmarkEnd w:id="1"/>
    </w:p>
    <w:p>
      <w:pPr>
        <w:pStyle w:val="8"/>
        <w:shd w:val="clear" w:color="auto" w:fill="FFFFFF"/>
        <w:topLinePunct/>
        <w:spacing w:before="0" w:beforeAutospacing="0" w:after="0" w:afterAutospacing="0"/>
        <w:ind w:firstLine="397"/>
        <w:jc w:val="both"/>
        <w:rPr>
          <w:rFonts w:hint="default" w:eastAsia="Times New Roman"/>
          <w:lang w:val="ru-RU" w:bidi="ar"/>
        </w:rPr>
      </w:pPr>
      <w:r>
        <w:rPr>
          <w:rFonts w:eastAsia="Times New Roman"/>
          <w:lang w:val="ru-RU" w:bidi="ar"/>
        </w:rPr>
        <w:t>Глаголы касания при выражении пространства</w:t>
      </w:r>
      <w:r>
        <w:rPr>
          <w:rFonts w:hint="default" w:eastAsia="Times New Roman"/>
          <w:lang w:val="ru-RU" w:bidi="ar"/>
        </w:rPr>
        <w:t>.</w:t>
      </w:r>
    </w:p>
    <w:p>
      <w:pPr>
        <w:spacing w:after="0"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bidi="ar"/>
        </w:rPr>
        <w:t xml:space="preserve">Глаголы цветового восприятия. </w:t>
      </w:r>
      <w:r>
        <w:rPr>
          <w:rFonts w:ascii="Times New Roman" w:hAnsi="Times New Roman" w:cs="Times New Roman"/>
          <w:sz w:val="24"/>
          <w:szCs w:val="24"/>
        </w:rPr>
        <w:t>С помощью этих глаголов пространственная локализация предметов осуществляется через их цветовые свойства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Рассмотренные нами пространственные глаголы объединяются в единое категориальное смысловое поле и сочета</w:t>
      </w:r>
      <w:r>
        <w:rPr>
          <w:rFonts w:ascii="Times New Roman" w:hAnsi="Times New Roman" w:cs="Times New Roman"/>
          <w:sz w:val="24"/>
          <w:szCs w:val="24"/>
          <w:lang w:val="ru-RU"/>
        </w:rPr>
        <w:t>ются</w:t>
      </w:r>
      <w:r>
        <w:rPr>
          <w:rFonts w:ascii="Times New Roman" w:hAnsi="Times New Roman" w:cs="Times New Roman"/>
          <w:sz w:val="24"/>
          <w:szCs w:val="24"/>
        </w:rPr>
        <w:t xml:space="preserve"> с пространственно ориентированными предметами.</w:t>
      </w:r>
    </w:p>
    <w:p>
      <w:pPr>
        <w:spacing w:after="0" w:line="240" w:lineRule="auto"/>
        <w:ind w:left="707" w:firstLine="397"/>
        <w:jc w:val="both"/>
        <w:rPr>
          <w:rFonts w:ascii="Times New Roman" w:hAnsi="Times New Roman" w:eastAsia="Microsoft YaHei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Microsoft YaHei" w:cs="Times New Roman"/>
          <w:sz w:val="24"/>
          <w:szCs w:val="24"/>
          <w:shd w:val="clear" w:color="auto" w:fill="FFFFFF"/>
        </w:rPr>
        <w:t>В результате мы пришли к следующим выводам:</w:t>
      </w:r>
    </w:p>
    <w:p>
      <w:pPr>
        <w:spacing w:after="0" w:line="240" w:lineRule="auto"/>
        <w:ind w:firstLine="397"/>
        <w:jc w:val="both"/>
        <w:rPr>
          <w:rFonts w:ascii="Times New Roman" w:hAnsi="Times New Roman" w:eastAsia="Microsoft YaHei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Microsoft YaHei" w:cs="Times New Roman"/>
          <w:sz w:val="24"/>
          <w:szCs w:val="24"/>
          <w:shd w:val="clear" w:color="auto" w:fill="FFFFFF"/>
        </w:rPr>
        <w:t>1. Пространственные глаголы занимают важное место в языке произведений К. Паустовского. С их помощью он передает пространственную метафизику окружающих их героев физических реалий, частью которых являются сами герои.</w:t>
      </w:r>
    </w:p>
    <w:p>
      <w:pPr>
        <w:spacing w:after="0" w:line="240" w:lineRule="auto"/>
        <w:ind w:firstLine="397"/>
        <w:jc w:val="both"/>
        <w:rPr>
          <w:rFonts w:ascii="Times New Roman" w:hAnsi="Times New Roman" w:eastAsia="Microsoft YaHei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Microsoft YaHei" w:cs="Times New Roman"/>
          <w:sz w:val="24"/>
          <w:szCs w:val="24"/>
          <w:shd w:val="clear" w:color="auto" w:fill="FFFFFF"/>
        </w:rPr>
        <w:t>2. С помощью экзистенциальных глаголов в произведениях К. Паустовского представляется информация бытийного характера, которая сообщает о наличии людей и предметов в определенных точках пространственного континуума.</w:t>
      </w:r>
    </w:p>
    <w:p>
      <w:pPr>
        <w:spacing w:after="0" w:line="240" w:lineRule="auto"/>
        <w:ind w:firstLine="397"/>
        <w:jc w:val="both"/>
        <w:rPr>
          <w:rFonts w:ascii="Times New Roman" w:hAnsi="Times New Roman" w:eastAsia="Microsoft YaHei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Microsoft YaHei" w:cs="Times New Roman"/>
          <w:sz w:val="24"/>
          <w:szCs w:val="24"/>
          <w:shd w:val="clear" w:color="auto" w:fill="FFFFFF"/>
        </w:rPr>
        <w:t>3. С помощью глаголов положения в пространстве (вертикальное, горизонтальное, касательное относительно кого или чего-либо) передается информация частного характера проявления поля экзистенциальности.</w:t>
      </w:r>
    </w:p>
    <w:p>
      <w:pPr>
        <w:spacing w:after="0" w:line="240" w:lineRule="auto"/>
        <w:ind w:firstLine="397"/>
        <w:jc w:val="both"/>
        <w:rPr>
          <w:rFonts w:ascii="Times New Roman" w:hAnsi="Times New Roman" w:eastAsia="Microsoft YaHei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Microsoft YaHei" w:cs="Times New Roman"/>
          <w:sz w:val="24"/>
          <w:szCs w:val="24"/>
          <w:shd w:val="clear" w:color="auto" w:fill="FFFFFF"/>
        </w:rPr>
        <w:t xml:space="preserve">4. Особое место в творчестве К. Г. Паустовского занимают глаголы цветового восприятия, посредством которых передается расположение чего-либо в пространстве по его цветовому проявлению. В этом случае превалирует образный подход к передаче категории пространства в языке. </w:t>
      </w:r>
    </w:p>
    <w:p>
      <w:pPr>
        <w:spacing w:after="0" w:line="240" w:lineRule="auto"/>
        <w:ind w:firstLine="397"/>
        <w:jc w:val="both"/>
        <w:rPr>
          <w:rFonts w:ascii="Times New Roman" w:hAnsi="Times New Roman" w:eastAsia="Microsoft YaHei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Microsoft YaHei" w:cs="Times New Roman"/>
          <w:sz w:val="24"/>
          <w:szCs w:val="24"/>
          <w:shd w:val="clear" w:color="auto" w:fill="FFFFFF"/>
        </w:rPr>
        <w:t>5. Подобный подход к описанию пространства может быть обусловлен отчасти самой поэтикой творчества К. Паустовского, направленной в сторону описания пространственной динамики процессов бытия.</w:t>
      </w:r>
    </w:p>
    <w:p>
      <w:pPr>
        <w:spacing w:after="0" w:line="30" w:lineRule="atLeast"/>
        <w:ind w:firstLine="300" w:firstLineChars="125"/>
        <w:jc w:val="center"/>
        <w:rPr>
          <w:rFonts w:ascii="Times New Roman" w:hAnsi="Times New Roman" w:eastAsia="Microsoft YaHei" w:cs="Times New Roman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center"/>
        <w:textAlignment w:val="auto"/>
        <w:rPr>
          <w:rFonts w:hint="default" w:ascii="Times New Roman" w:hAnsi="Times New Roman" w:eastAsia="Microsoft YaHei" w:cs="Times New Roman"/>
          <w:b/>
          <w:bCs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Microsoft YaHei" w:cs="Times New Roman"/>
          <w:b/>
          <w:bCs/>
          <w:sz w:val="24"/>
          <w:szCs w:val="24"/>
          <w:shd w:val="clear" w:color="auto" w:fill="FFFFFF"/>
          <w:lang w:val="ru-RU"/>
        </w:rPr>
        <w:t>Л</w:t>
      </w:r>
      <w:r>
        <w:rPr>
          <w:rFonts w:ascii="Times New Roman" w:hAnsi="Times New Roman" w:eastAsia="Microsoft YaHei" w:cs="Times New Roman"/>
          <w:b/>
          <w:bCs/>
          <w:sz w:val="24"/>
          <w:szCs w:val="24"/>
          <w:shd w:val="clear" w:color="auto" w:fill="FFFFFF"/>
        </w:rPr>
        <w:t>итератур</w:t>
      </w:r>
      <w:r>
        <w:rPr>
          <w:rFonts w:ascii="Times New Roman" w:hAnsi="Times New Roman" w:eastAsia="Microsoft YaHei" w:cs="Times New Roman"/>
          <w:b/>
          <w:bCs/>
          <w:sz w:val="24"/>
          <w:szCs w:val="24"/>
          <w:shd w:val="clear" w:color="auto" w:fill="FFFFFF"/>
          <w:lang w:val="ru-RU"/>
        </w:rPr>
        <w:t>а</w:t>
      </w:r>
    </w:p>
    <w:p>
      <w:pPr>
        <w:pStyle w:val="9"/>
        <w:numPr>
          <w:ilvl w:val="0"/>
          <w:numId w:val="2"/>
        </w:numPr>
        <w:tabs>
          <w:tab w:val="left" w:pos="748"/>
        </w:tabs>
        <w:spacing w:after="0" w:line="240" w:lineRule="auto"/>
        <w:ind w:right="-1" w:firstLine="480" w:firstLineChars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Невская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И. А.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Пространственные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отношения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тюркских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языках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Южной Сибири (на материале шорского языка) / И. А. Невская. – Новосибирск: ООО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«Ника»,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2005.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305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</w:t>
      </w:r>
    </w:p>
    <w:p>
      <w:pPr>
        <w:pStyle w:val="9"/>
        <w:numPr>
          <w:ilvl w:val="0"/>
          <w:numId w:val="2"/>
        </w:numPr>
        <w:tabs>
          <w:tab w:val="left" w:pos="748"/>
        </w:tabs>
        <w:spacing w:after="0" w:line="240" w:lineRule="auto"/>
        <w:ind w:right="-1" w:firstLine="476" w:firstLineChars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Философский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энциклопедический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словарь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/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гл.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ред.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Л.Ф.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Ильичёв.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 :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«Советская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Энциклопедия»,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1983.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840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</w:t>
      </w:r>
    </w:p>
    <w:p>
      <w:pPr>
        <w:pStyle w:val="9"/>
        <w:numPr>
          <w:ilvl w:val="0"/>
          <w:numId w:val="2"/>
        </w:numPr>
        <w:tabs>
          <w:tab w:val="left" w:pos="662"/>
        </w:tabs>
        <w:spacing w:after="0" w:line="240" w:lineRule="auto"/>
        <w:ind w:right="-1" w:firstLine="480" w:firstLineChars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Гак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 Г.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Пространство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пространства / В. Г. Гак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//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Логический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анализ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языка.</w:t>
      </w:r>
      <w:r>
        <w:rPr>
          <w:rFonts w:ascii="Times New Roman" w:hAnsi="Times New Roman"/>
          <w:spacing w:val="-4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Языки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пространств.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М.: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Языки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русской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культуры,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2000.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127–135.</w:t>
      </w:r>
    </w:p>
    <w:p>
      <w:pPr>
        <w:pStyle w:val="9"/>
        <w:numPr>
          <w:ilvl w:val="0"/>
          <w:numId w:val="2"/>
        </w:numPr>
        <w:tabs>
          <w:tab w:val="left" w:pos="662"/>
        </w:tabs>
        <w:spacing w:after="0" w:line="240" w:lineRule="auto"/>
        <w:ind w:right="-1" w:firstLine="476" w:firstLineChars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Королева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Ю. В.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Категория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пространства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способы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ее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трансформации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языке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(на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материале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русских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глагольных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префиксов)</w:t>
      </w:r>
      <w:r>
        <w:rPr>
          <w:rFonts w:ascii="Times New Roman" w:hAnsi="Times New Roman"/>
          <w:spacing w:val="-4"/>
          <w:sz w:val="24"/>
          <w:szCs w:val="24"/>
        </w:rPr>
        <w:t xml:space="preserve"> Ю. В. Королева </w:t>
      </w:r>
      <w:r>
        <w:rPr>
          <w:rFonts w:ascii="Times New Roman" w:hAnsi="Times New Roman"/>
          <w:sz w:val="24"/>
          <w:szCs w:val="24"/>
        </w:rPr>
        <w:t>//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Картины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русского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мира: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пространственные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модели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языке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тексте.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–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Томск :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UFO-Plus,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2007.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–</w:t>
      </w:r>
      <w:r>
        <w:rPr>
          <w:rFonts w:ascii="Times New Roman" w:hAnsi="Times New Roman"/>
          <w:spacing w:val="-47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С.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188–226.</w:t>
      </w:r>
    </w:p>
    <w:p>
      <w:pPr>
        <w:numPr>
          <w:ilvl w:val="0"/>
          <w:numId w:val="2"/>
        </w:num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Бенвенист Э. Общая лингвистика / Э. Бенвенист. – М. : Прогресс, 1974. – 448 с.</w:t>
      </w:r>
    </w:p>
    <w:p>
      <w:pPr>
        <w:numPr>
          <w:ilvl w:val="0"/>
          <w:numId w:val="2"/>
        </w:num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Арутюнова Н. Д. Бытийные предложения / Н. Д. Арутюнова // Энциклопедия «Русский язык». </w:t>
      </w:r>
      <w:r>
        <w:rPr>
          <w:rFonts w:ascii="Times New Roman" w:hAnsi="Times New Roman" w:cs="Times New Roman"/>
          <w:color w:val="339966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М. : Большая Российская энциклопедия, 1997. –                                  С. 57–59.</w:t>
      </w:r>
    </w:p>
    <w:p>
      <w:pPr>
        <w:pStyle w:val="9"/>
        <w:numPr>
          <w:ilvl w:val="0"/>
          <w:numId w:val="2"/>
        </w:numPr>
        <w:spacing w:after="0" w:line="240" w:lineRule="auto"/>
        <w:ind w:firstLine="480" w:firstLineChars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Арутюнова Н. Д. Русское предложение. Бытийный тип: структура и значение / Н. Д. Арутюнова, Е. Н. Ширяев. – М. : Русский язык, 1983. </w:t>
      </w:r>
      <w:r>
        <w:rPr>
          <w:rFonts w:ascii="Times New Roman" w:hAnsi="Times New Roman"/>
          <w:color w:val="339966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198 с.</w:t>
      </w:r>
    </w:p>
    <w:p>
      <w:pPr>
        <w:numPr>
          <w:ilvl w:val="0"/>
          <w:numId w:val="2"/>
        </w:num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Золотова Г. А. Очерк функционального синтаксиса русского языка / Г. А. Золотова. – М. : Наука, 1973. – 352 с.</w:t>
      </w:r>
    </w:p>
    <w:p>
      <w:pPr>
        <w:pStyle w:val="9"/>
        <w:numPr>
          <w:ilvl w:val="0"/>
          <w:numId w:val="2"/>
        </w:numPr>
        <w:spacing w:after="0" w:line="240" w:lineRule="auto"/>
        <w:ind w:firstLine="480" w:firstLineChars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Бабенко Л. Г. Большой толковый словарь русских глаголов /                               Л. Г. Бабенко. – М. : АСТ–Пресс, 2007. – 576 c.</w:t>
      </w:r>
    </w:p>
    <w:p>
      <w:pPr>
        <w:numPr>
          <w:ilvl w:val="0"/>
          <w:numId w:val="2"/>
        </w:num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Пимнева В. Поэтический мир Паустовского / В. Пимнева, А. Дормидонтовна // Наука в России. – 2012. – № 2. – С. 68–74.</w:t>
      </w:r>
    </w:p>
    <w:p>
      <w:pPr>
        <w:numPr>
          <w:ilvl w:val="0"/>
          <w:numId w:val="2"/>
        </w:num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pacing w:val="-2"/>
          <w:sz w:val="24"/>
          <w:szCs w:val="24"/>
        </w:rPr>
        <w:t>т</w:t>
      </w:r>
      <w:r>
        <w:rPr>
          <w:rFonts w:ascii="Times New Roman" w:hAnsi="Times New Roman" w:cs="Times New Roman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л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ер</w:t>
      </w:r>
      <w:r>
        <w:rPr>
          <w:rFonts w:ascii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spacing w:val="-2"/>
          <w:sz w:val="24"/>
          <w:szCs w:val="24"/>
        </w:rPr>
        <w:t>т</w:t>
      </w:r>
      <w:r>
        <w:rPr>
          <w:rFonts w:ascii="Times New Roman" w:hAnsi="Times New Roman" w:cs="Times New Roman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pacing w:val="1"/>
          <w:sz w:val="24"/>
          <w:szCs w:val="24"/>
        </w:rPr>
        <w:t>а / В. Ф.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Панова.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Л. : Советский писатель,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972. – 237 с.</w:t>
      </w:r>
    </w:p>
    <w:p>
      <w:pPr>
        <w:numPr>
          <w:ilvl w:val="0"/>
          <w:numId w:val="2"/>
        </w:num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2948114"/>
      <w:r>
        <w:rPr>
          <w:rFonts w:ascii="Times New Roman" w:hAnsi="Times New Roman" w:cs="Times New Roman"/>
          <w:sz w:val="24"/>
          <w:szCs w:val="24"/>
        </w:rPr>
        <w:t xml:space="preserve">Русская литература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XX века : учеб. пособие для студ. высш. пед. учеб. заведений : В 2 т. – Т. 2: 1940 – 1990-е гг. / Л. П. Кременцов, Л. Ф. Алексеева, Н. М. Малыгина и др. / под ред. Л. П. Кременцова. – М. : Издательский центр «Академия», 2005. – 464 с. </w:t>
      </w:r>
    </w:p>
    <w:p>
      <w:pPr>
        <w:numPr>
          <w:ilvl w:val="0"/>
          <w:numId w:val="2"/>
        </w:num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Любезнова Ю. Особенности идиостиля К. Г. Паустовского / Ю. Любезнова, Н. А. Мазурова // </w:t>
      </w:r>
      <w:r>
        <w:fldChar w:fldCharType="begin"/>
      </w:r>
      <w:r>
        <w:instrText xml:space="preserve"> HYPERLINK "https://www.elibrary.ru/contents.asp?id=33830770"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Актуальные проблемы гуманитарных и естественных наук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– 2013. – </w:t>
      </w:r>
      <w:r>
        <w:fldChar w:fldCharType="begin"/>
      </w:r>
      <w:r>
        <w:instrText xml:space="preserve"> HYPERLINK "https://www.elibrary.ru/contents.asp?id=33830770&amp;selid=19070950"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№ 4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 – С. 277–279.</w:t>
      </w:r>
    </w:p>
    <w:p>
      <w:pPr>
        <w:numPr>
          <w:ilvl w:val="0"/>
          <w:numId w:val="2"/>
        </w:num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Савина С. Л Лексико-семантическое поле глаголов статической локализаии в русских простых предложениях </w:t>
      </w:r>
      <w:r>
        <w:rPr>
          <w:rFonts w:ascii="Times New Roman" w:hAnsi="Times New Roman" w:cs="Times New Roman"/>
          <w:iCs/>
          <w:sz w:val="24"/>
          <w:szCs w:val="24"/>
        </w:rPr>
        <w:t xml:space="preserve">// </w:t>
      </w:r>
      <w:r>
        <w:rPr>
          <w:rFonts w:ascii="Times New Roman" w:hAnsi="Times New Roman" w:cs="Times New Roman"/>
          <w:sz w:val="24"/>
          <w:szCs w:val="24"/>
          <w:lang w:eastAsia="zh-CN"/>
        </w:rPr>
        <w:t>ВЕСТНИК ВГУ. Серия: Филология. Журналистика. 2009.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№1. </w:t>
      </w:r>
      <w:r>
        <w:rPr>
          <w:rFonts w:ascii="Times New Roman" w:hAnsi="Times New Roman" w:cs="Times New Roman"/>
          <w:sz w:val="24"/>
          <w:szCs w:val="24"/>
        </w:rPr>
        <w:t>– С. 99.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shd w:val="clear" w:color="auto" w:fill="FFFFFF"/>
        <w:topLinePunct/>
        <w:spacing w:before="0" w:beforeAutospacing="0" w:after="0" w:afterAutospacing="0" w:line="360" w:lineRule="auto"/>
        <w:ind w:firstLine="709"/>
        <w:jc w:val="both"/>
        <w:rPr>
          <w:rFonts w:eastAsiaTheme="minorEastAsia"/>
          <w:lang w:val="ru-RU" w:bidi="ar"/>
        </w:rPr>
      </w:pPr>
    </w:p>
    <w:sectPr>
      <w:headerReference r:id="rId5" w:type="default"/>
      <w:pgSz w:w="11906" w:h="16838"/>
      <w:pgMar w:top="1134" w:right="1361" w:bottom="1134" w:left="136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53EA85"/>
    <w:multiLevelType w:val="singleLevel"/>
    <w:tmpl w:val="D853EA8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5FA420A"/>
    <w:multiLevelType w:val="multilevel"/>
    <w:tmpl w:val="15FA420A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06"/>
    <w:rsid w:val="00170DB2"/>
    <w:rsid w:val="00192997"/>
    <w:rsid w:val="001C5034"/>
    <w:rsid w:val="00201DA8"/>
    <w:rsid w:val="002F2E5A"/>
    <w:rsid w:val="00352915"/>
    <w:rsid w:val="003A099C"/>
    <w:rsid w:val="003F312B"/>
    <w:rsid w:val="00412C42"/>
    <w:rsid w:val="00486AAD"/>
    <w:rsid w:val="00600EB4"/>
    <w:rsid w:val="0074183D"/>
    <w:rsid w:val="0078397B"/>
    <w:rsid w:val="00834925"/>
    <w:rsid w:val="009212ED"/>
    <w:rsid w:val="009255BD"/>
    <w:rsid w:val="00A42206"/>
    <w:rsid w:val="00AD6A53"/>
    <w:rsid w:val="00B5107A"/>
    <w:rsid w:val="00B82085"/>
    <w:rsid w:val="00BD3E02"/>
    <w:rsid w:val="00C05A3C"/>
    <w:rsid w:val="00C14AEF"/>
    <w:rsid w:val="00CB47BE"/>
    <w:rsid w:val="00CB71A6"/>
    <w:rsid w:val="00D36EAB"/>
    <w:rsid w:val="00D75262"/>
    <w:rsid w:val="00DC5372"/>
    <w:rsid w:val="00E03334"/>
    <w:rsid w:val="00E30308"/>
    <w:rsid w:val="00E97882"/>
    <w:rsid w:val="00FE4506"/>
    <w:rsid w:val="2F465662"/>
    <w:rsid w:val="6D66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13"/>
    <w:autoRedefine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Body Text"/>
    <w:basedOn w:val="1"/>
    <w:link w:val="12"/>
    <w:autoRedefine/>
    <w:qFormat/>
    <w:uiPriority w:val="1"/>
    <w:pPr>
      <w:spacing w:after="120" w:line="240" w:lineRule="auto"/>
    </w:pPr>
    <w:rPr>
      <w:rFonts w:ascii="Times New Roman" w:hAnsi="Times New Roman" w:eastAsia="SimSun" w:cs="Times New Roman"/>
      <w:sz w:val="24"/>
      <w:szCs w:val="24"/>
      <w:lang w:eastAsia="zh-CN"/>
    </w:rPr>
  </w:style>
  <w:style w:type="paragraph" w:styleId="7">
    <w:name w:val="footer"/>
    <w:basedOn w:val="1"/>
    <w:link w:val="14"/>
    <w:autoRedefine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basedOn w:val="1"/>
    <w:autoRedefine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SimSun" w:cs="Times New Roman"/>
      <w:sz w:val="24"/>
      <w:szCs w:val="24"/>
      <w:lang w:val="en-US" w:eastAsia="zh-CN"/>
    </w:rPr>
  </w:style>
  <w:style w:type="paragraph" w:styleId="9">
    <w:name w:val="List Paragraph"/>
    <w:basedOn w:val="1"/>
    <w:autoRedefine/>
    <w:qFormat/>
    <w:uiPriority w:val="1"/>
    <w:pPr>
      <w:spacing w:after="200" w:line="276" w:lineRule="auto"/>
      <w:ind w:left="720"/>
      <w:contextualSpacing/>
    </w:pPr>
    <w:rPr>
      <w:rFonts w:ascii="Calibri" w:hAnsi="Calibri" w:eastAsia="SimSun" w:cs="Times New Roman"/>
      <w:lang w:eastAsia="ru-RU"/>
    </w:rPr>
  </w:style>
  <w:style w:type="character" w:customStyle="1" w:styleId="10">
    <w:name w:val="b-wrd-expl"/>
    <w:basedOn w:val="2"/>
    <w:autoRedefine/>
    <w:qFormat/>
    <w:uiPriority w:val="0"/>
    <w:rPr>
      <w:rFonts w:cs="Times New Roman"/>
    </w:rPr>
  </w:style>
  <w:style w:type="character" w:customStyle="1" w:styleId="11">
    <w:name w:val="doc"/>
    <w:basedOn w:val="2"/>
    <w:autoRedefine/>
    <w:qFormat/>
    <w:uiPriority w:val="0"/>
    <w:rPr>
      <w:rFonts w:cs="Times New Roman"/>
    </w:rPr>
  </w:style>
  <w:style w:type="character" w:customStyle="1" w:styleId="12">
    <w:name w:val="Основной текст Знак"/>
    <w:basedOn w:val="2"/>
    <w:link w:val="6"/>
    <w:autoRedefine/>
    <w:qFormat/>
    <w:uiPriority w:val="1"/>
    <w:rPr>
      <w:rFonts w:ascii="Times New Roman" w:hAnsi="Times New Roman" w:eastAsia="SimSun" w:cs="Times New Roman"/>
      <w:sz w:val="24"/>
      <w:szCs w:val="24"/>
      <w:lang w:eastAsia="zh-CN"/>
    </w:rPr>
  </w:style>
  <w:style w:type="character" w:customStyle="1" w:styleId="13">
    <w:name w:val="Верхний колонтитул Знак"/>
    <w:basedOn w:val="2"/>
    <w:link w:val="5"/>
    <w:autoRedefine/>
    <w:qFormat/>
    <w:uiPriority w:val="99"/>
  </w:style>
  <w:style w:type="character" w:customStyle="1" w:styleId="14">
    <w:name w:val="Нижний колонтитул Знак"/>
    <w:basedOn w:val="2"/>
    <w:link w:val="7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892</Words>
  <Characters>5091</Characters>
  <Lines>42</Lines>
  <Paragraphs>11</Paragraphs>
  <TotalTime>5</TotalTime>
  <ScaleCrop>false</ScaleCrop>
  <LinksUpToDate>false</LinksUpToDate>
  <CharactersWithSpaces>5972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2024-03-22T16:27:00Z</dcterms:created>
  <dc:creator>Ivanov Dmitry</dc:creator>
  <cp:lastModifiedBy>Елена Мешкова</cp:lastModifiedBy>
  <dcterms:modified xsi:type="dcterms:W3CDTF">2024-05-04T22:17:11Z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D0BA2846600C4462A6A8DFCDC316CDF0_13</vt:lpwstr>
  </property>
</Properties>
</file>