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center"/>
        <w:textAlignment w:val="auto"/>
        <w:rPr>
          <w:rFonts w:asciiTheme="majorBidi" w:hAnsiTheme="majorBidi" w:cstheme="majorBidi"/>
          <w:b/>
          <w:bCs/>
          <w:sz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lang w:val="ru-RU"/>
        </w:rPr>
        <w:t>Межъязыковая асимметрия при переводе эмоционально окрашенной лексики (на материале повести М.А. Булгакова «Собачье сердце» и её перевода на китайский язык)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center"/>
        <w:textAlignment w:val="auto"/>
        <w:rPr>
          <w:rFonts w:ascii="Times New Roman" w:hAnsi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lang w:val="ru-RU"/>
        </w:rPr>
        <w:t>Су Минцзэ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center"/>
        <w:textAlignment w:val="auto"/>
        <w:rPr>
          <w:rFonts w:ascii="Times New Roman" w:hAnsi="Times New Roman" w:eastAsia="Times New Roman" w:cs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>Аспирант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center"/>
        <w:textAlignment w:val="auto"/>
        <w:rPr>
          <w:rFonts w:ascii="Times New Roman" w:hAnsi="Times New Roman" w:eastAsia="Times New Roman" w:cs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>Московский государственный университет имени</w:t>
      </w:r>
      <w:r>
        <w:rPr>
          <w:rFonts w:hint="default" w:ascii="Times New Roman" w:hAnsi="Times New Roman"/>
          <w:i/>
          <w:iCs/>
          <w:sz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lang w:val="ru-RU"/>
        </w:rPr>
        <w:t>М.В. Ломоносова,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center"/>
        <w:textAlignment w:val="auto"/>
        <w:rPr>
          <w:rFonts w:ascii="Times New Roman" w:hAnsi="Times New Roman" w:eastAsia="Times New Roman" w:cs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>Высшая школа перевода (факультет), Москва, Россия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center"/>
        <w:textAlignment w:val="auto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>E-mail</w:t>
      </w:r>
      <w:r>
        <w:rPr>
          <w:rFonts w:ascii="Times New Roman" w:hAnsi="Times New Roman"/>
          <w:i/>
          <w:iCs/>
          <w:sz w:val="24"/>
          <w:lang w:val="zh-TW" w:eastAsia="zh-TW"/>
        </w:rPr>
        <w:t>：</w:t>
      </w:r>
      <w:r>
        <w:rPr>
          <w:rFonts w:ascii="Times New Roman" w:hAnsi="Times New Roman"/>
          <w:i/>
          <w:iCs/>
          <w:sz w:val="24"/>
          <w:lang w:eastAsia="zh-TW"/>
        </w:rPr>
        <w:t>sumingze</w:t>
      </w:r>
      <w:r>
        <w:rPr>
          <w:rFonts w:ascii="Times New Roman" w:hAnsi="Times New Roman"/>
          <w:i/>
          <w:iCs/>
          <w:sz w:val="24"/>
          <w:lang w:val="ru-RU" w:eastAsia="zh-TW"/>
        </w:rPr>
        <w:t>@</w:t>
      </w:r>
      <w:r>
        <w:rPr>
          <w:rFonts w:ascii="Times New Roman" w:hAnsi="Times New Roman"/>
          <w:i/>
          <w:iCs/>
          <w:sz w:val="24"/>
          <w:lang w:eastAsia="zh-TW"/>
        </w:rPr>
        <w:t>mail</w:t>
      </w:r>
      <w:r>
        <w:rPr>
          <w:rFonts w:ascii="Times New Roman" w:hAnsi="Times New Roman"/>
          <w:i/>
          <w:iCs/>
          <w:sz w:val="24"/>
          <w:lang w:val="ru-RU" w:eastAsia="zh-TW"/>
        </w:rPr>
        <w:t>.</w:t>
      </w:r>
      <w:r>
        <w:rPr>
          <w:rFonts w:ascii="Times New Roman" w:hAnsi="Times New Roman"/>
          <w:i/>
          <w:iCs/>
          <w:sz w:val="24"/>
          <w:lang w:eastAsia="zh-TW"/>
        </w:rPr>
        <w:t>ru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Межъязыковая асимметрия - одна из сложнейших переводческих проблем, которая рассматривалась многими исследователями. Частным случаем межъязыковой асимметрии может выступать эмоционально окрашенная лексика. Наше исследование мы посвятили анализу подобной лексики в повести М. Булгакова «Собачье сердце» и её переводе на китайский язык.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Особенностью эмоционально-оценочной лексики является то, что эмоциональная окраска "накладывается" на лексическое значение слова, но не сводится к нему: денотативное значение слова осложняется коннотативным [Розенталь Д.Э., 2022].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Эмоциональная окраска между соответствующими словами в двух языках имеет следующие четыре типа логических отношений: внеположенность, равнообъемность, подчинение, перекрещивание.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Равнообъемность означает то, что эмоциональная окраска лексических единиц в исходном тексте и переводном тексте полностью соответствует, они являются эквивалентами.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Theme="majorBidi" w:hAnsiTheme="majorBidi" w:cstheme="majorBidi"/>
          <w:i/>
          <w:iCs/>
          <w:sz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lang w:val="ru-RU"/>
        </w:rPr>
        <w:t>Чего ты скулишь, бедняжка?  (Глава 1, стр. 7)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Theme="majorBidi" w:hAnsiTheme="majorBidi" w:cstheme="majorBidi"/>
          <w:i/>
          <w:i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Перевод Цао Говэя:</w:t>
      </w:r>
      <w:r>
        <w:rPr>
          <w:rFonts w:ascii="Times New Roman Italic" w:hAnsi="Times New Roman Italic" w:cs="Times New Roman"/>
          <w:i/>
          <w:iCs/>
          <w:sz w:val="24"/>
          <w:lang w:val="ru-RU"/>
        </w:rPr>
        <w:t xml:space="preserve"> </w:t>
      </w:r>
      <w:r>
        <w:rPr>
          <w:rFonts w:ascii="Times New Roman Italic" w:hAnsi="Times New Roman Italic" w:cs="Times New Roman"/>
          <w:i/>
          <w:iCs/>
          <w:sz w:val="24"/>
        </w:rPr>
        <w:t>你干吗惨叫</w:t>
      </w:r>
      <w:r>
        <w:rPr>
          <w:rFonts w:ascii="Times New Roman Italic" w:hAnsi="Times New Roman Italic" w:cs="Times New Roman"/>
          <w:i/>
          <w:iCs/>
          <w:sz w:val="24"/>
          <w:lang w:val="ru-RU"/>
        </w:rPr>
        <w:t>，</w:t>
      </w:r>
      <w:r>
        <w:rPr>
          <w:rFonts w:ascii="Times New Roman Italic" w:hAnsi="Times New Roman Italic" w:cs="Times New Roman"/>
          <w:i/>
          <w:iCs/>
          <w:sz w:val="24"/>
        </w:rPr>
        <w:t>我的</w:t>
      </w:r>
      <w:r>
        <w:rPr>
          <w:rFonts w:ascii="Times New Roman Italic" w:hAnsi="Times New Roman Italic" w:cs="Times New Roman"/>
          <w:b/>
          <w:bCs/>
          <w:i/>
          <w:iCs/>
          <w:sz w:val="24"/>
        </w:rPr>
        <w:t>小可怜</w:t>
      </w:r>
      <w:r>
        <w:rPr>
          <w:rFonts w:ascii="Times New Roman Italic" w:hAnsi="Times New Roman Italic" w:cs="Times New Roman"/>
          <w:i/>
          <w:iCs/>
          <w:sz w:val="24"/>
          <w:lang w:val="ru-RU"/>
        </w:rPr>
        <w:t xml:space="preserve"> (</w:t>
      </w:r>
      <w:r>
        <w:rPr>
          <w:rFonts w:ascii="Times New Roman Italic" w:hAnsi="Times New Roman Italic" w:cs="Times New Roman"/>
          <w:i/>
          <w:iCs/>
          <w:sz w:val="24"/>
        </w:rPr>
        <w:t>第一章</w:t>
      </w:r>
      <w:r>
        <w:rPr>
          <w:rFonts w:ascii="Times New Roman Italic" w:hAnsi="Times New Roman Italic" w:cs="Times New Roman"/>
          <w:i/>
          <w:iCs/>
          <w:sz w:val="24"/>
          <w:lang w:val="ru-RU"/>
        </w:rPr>
        <w:t>，</w:t>
      </w:r>
      <w:r>
        <w:rPr>
          <w:rFonts w:asciiTheme="majorBidi" w:hAnsiTheme="majorBidi" w:cstheme="majorBidi"/>
          <w:i/>
          <w:iCs/>
          <w:sz w:val="24"/>
        </w:rPr>
        <w:t>p</w:t>
      </w:r>
      <w:r>
        <w:rPr>
          <w:rFonts w:asciiTheme="majorBidi" w:hAnsiTheme="majorBidi" w:cstheme="majorBidi"/>
          <w:i/>
          <w:iCs/>
          <w:sz w:val="24"/>
          <w:lang w:val="ru-RU"/>
        </w:rPr>
        <w:t xml:space="preserve">6)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В переводе Цао Говэя 小可怜, наделённая аффективным значением ласкательность,  имеет ту же эмоциональную окраску, что и исходный текст.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Последние три представляют собой асимметричные отношения эмоциональной окраски и находятся в центре внимания в данной статье.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Внеположенность означает, что эмоциональная окраска лексических единиц совершенно иная, что вызвано культурной асимметрией.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Theme="majorBidi" w:hAnsiTheme="majorBidi" w:cstheme="majorBidi"/>
          <w:i/>
          <w:iCs/>
          <w:sz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lang w:val="ru-RU"/>
        </w:rPr>
        <w:t>Снимайте штаны,</w:t>
      </w:r>
      <w:r>
        <w:rPr>
          <w:rFonts w:asciiTheme="majorBidi" w:hAnsiTheme="majorBidi" w:cstheme="majorBidi"/>
          <w:b/>
          <w:bCs/>
          <w:i/>
          <w:iCs/>
          <w:sz w:val="24"/>
          <w:lang w:val="ru-RU"/>
        </w:rPr>
        <w:t xml:space="preserve"> голубчик</w:t>
      </w:r>
      <w:r>
        <w:rPr>
          <w:rFonts w:asciiTheme="majorBidi" w:hAnsiTheme="majorBidi" w:cstheme="majorBidi"/>
          <w:i/>
          <w:iCs/>
          <w:sz w:val="24"/>
          <w:lang w:val="ru-RU"/>
        </w:rPr>
        <w:t xml:space="preserve"> (Глава 2, стр. 20)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Многозначное слово-обращение, нейтральное в основном значении получает качественно-эмоциональный оттенок при переносном употреблении. </w:t>
      </w:r>
      <w:r>
        <w:rPr>
          <w:rFonts w:hint="default" w:ascii="Times New Roman Regular" w:hAnsi="Times New Roman Regular" w:cs="Times New Roman Regular"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sz w:val="24"/>
          <w:lang w:val="ru-RU"/>
        </w:rPr>
        <w:t>Голубчик</w:t>
      </w:r>
      <w:r>
        <w:rPr>
          <w:rFonts w:hint="default" w:ascii="Times New Roman Regular" w:hAnsi="Times New Roman Regular" w:cs="Times New Roman Regular"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употребляется как ласково фамильярное обращение к мужчине. Но в китайском языке </w:t>
      </w:r>
      <w:r>
        <w:rPr>
          <w:rFonts w:ascii="Times New Roman Regular" w:hAnsi="Times New Roman Regular" w:cs="Times New Roman Regular"/>
          <w:b/>
          <w:bCs/>
          <w:sz w:val="24"/>
          <w:lang w:val="ru-RU"/>
        </w:rPr>
        <w:t>鸽子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(голубь) имеете негативное значение и вызывает совершенно другую эмоцию - отвращение. Оно означает безответственного человека, который часто отменяет встречи. Из-за культурной асимметрии эмоциональная окраска двух слов имеет внеположенность.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Для отношений подчинения выделяем две ситуации: 1) между словами с эмоциональной окраской русского исходного текста и подобными из китайского перевода возникают гиперо-гипонимические отношения, то есть в одном из языков эмоциональная коннотация шире, чем в другом 2) русский исходный текст имеет эмоциональную окраску, а в китайском переводе ее нет.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Theme="majorBidi" w:hAnsiTheme="majorBidi" w:cstheme="majorBidi"/>
          <w:i/>
          <w:iCs/>
          <w:sz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lang w:val="ru-RU"/>
        </w:rPr>
        <w:t>Точно так. Целых</w:t>
      </w:r>
      <w:r>
        <w:rPr>
          <w:rFonts w:asciiTheme="majorBidi" w:hAnsiTheme="majorBidi" w:cstheme="majorBidi"/>
          <w:b/>
          <w:bCs/>
          <w:i/>
          <w:iCs/>
          <w:sz w:val="24"/>
          <w:lang w:val="ru-RU"/>
        </w:rPr>
        <w:t xml:space="preserve"> четыре штуки</w:t>
      </w:r>
      <w:r>
        <w:rPr>
          <w:rFonts w:asciiTheme="majorBidi" w:hAnsiTheme="majorBidi" w:cstheme="majorBidi"/>
          <w:i/>
          <w:iCs/>
          <w:sz w:val="24"/>
          <w:lang w:val="ru-RU"/>
        </w:rPr>
        <w:t xml:space="preserve"> (Глава 1, стр. 12)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Italic" w:hAnsi="Times New Roman Italic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Перевод Цао Говэя:</w:t>
      </w:r>
      <w:r>
        <w:rPr>
          <w:rFonts w:ascii="Times New Roman Italic" w:hAnsi="Times New Roman Italic" w:cs="Times New Roman"/>
          <w:i/>
          <w:iCs/>
          <w:sz w:val="24"/>
          <w:lang w:val="ru-RU"/>
        </w:rPr>
        <w:t xml:space="preserve"> </w:t>
      </w:r>
      <w:r>
        <w:rPr>
          <w:rFonts w:hint="eastAsia" w:ascii="Times New Roman Italic" w:hAnsi="Times New Roman Italic" w:cs="Times New Roman"/>
          <w:i/>
          <w:iCs/>
          <w:sz w:val="24"/>
        </w:rPr>
        <w:t>没错</w:t>
      </w:r>
      <w:r>
        <w:rPr>
          <w:rFonts w:hint="eastAsia" w:ascii="Times New Roman Italic" w:hAnsi="Times New Roman Italic" w:cs="Times New Roman"/>
          <w:i/>
          <w:iCs/>
          <w:sz w:val="24"/>
          <w:lang w:val="ru-RU"/>
        </w:rPr>
        <w:t>，</w:t>
      </w:r>
      <w:r>
        <w:rPr>
          <w:rFonts w:hint="eastAsia" w:ascii="Times New Roman Italic" w:hAnsi="Times New Roman Italic" w:cs="Times New Roman"/>
          <w:b/>
          <w:bCs/>
          <w:i/>
          <w:iCs/>
          <w:sz w:val="24"/>
        </w:rPr>
        <w:t>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Слово </w:t>
      </w:r>
      <w:r>
        <w:rPr>
          <w:rFonts w:hint="default" w:ascii="Times New Roman Regular" w:hAnsi="Times New Roman Regular" w:cs="Times New Roman Regular"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sz w:val="24"/>
          <w:lang w:val="ru-RU"/>
        </w:rPr>
        <w:t>штука</w:t>
      </w:r>
      <w:r>
        <w:rPr>
          <w:rFonts w:hint="default" w:ascii="Times New Roman Regular" w:hAnsi="Times New Roman Regular" w:cs="Times New Roman Regular"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имеет в русском тексте пренебрежительное значение. А в китайском переводе </w:t>
      </w:r>
      <w:r>
        <w:rPr>
          <w:rFonts w:ascii="Times New Roman Regular" w:hAnsi="Times New Roman Regular" w:cs="Times New Roman Regular"/>
          <w:b/>
          <w:bCs/>
          <w:sz w:val="24"/>
          <w:lang w:val="ru-RU"/>
        </w:rPr>
        <w:t>四个人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(дословный перевод: четыре человека) коннотация пренебрежения нейтрализуется.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Theme="majorBidi" w:hAnsiTheme="majorBidi" w:cstheme="majorBidi"/>
          <w:i/>
          <w:iCs/>
          <w:sz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lang w:val="ru-RU"/>
        </w:rPr>
        <w:t xml:space="preserve">Вы гляньте когда-нибудь на его </w:t>
      </w:r>
      <w:r>
        <w:rPr>
          <w:rFonts w:asciiTheme="majorBidi" w:hAnsiTheme="majorBidi" w:cstheme="majorBidi"/>
          <w:b/>
          <w:bCs/>
          <w:i/>
          <w:iCs/>
          <w:sz w:val="24"/>
          <w:lang w:val="ru-RU"/>
        </w:rPr>
        <w:t>рожу</w:t>
      </w:r>
      <w:r>
        <w:rPr>
          <w:rFonts w:asciiTheme="majorBidi" w:hAnsiTheme="majorBidi" w:cstheme="majorBidi"/>
          <w:i/>
          <w:iCs/>
          <w:sz w:val="24"/>
          <w:lang w:val="ru-RU"/>
        </w:rPr>
        <w:t>: ведь он поперёк себя шире! (Глава 1, стр. 5)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Italic" w:hAnsi="Times New Roman Italic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Перевод Бай Хуасюна:</w:t>
      </w:r>
      <w:r>
        <w:rPr>
          <w:rFonts w:ascii="Times New Roman Italic" w:hAnsi="Times New Roman Italic" w:cs="Times New Roman"/>
          <w:i/>
          <w:iCs/>
          <w:sz w:val="24"/>
          <w:lang w:val="ru-RU"/>
        </w:rPr>
        <w:t xml:space="preserve"> </w:t>
      </w:r>
      <w:r>
        <w:rPr>
          <w:rFonts w:hint="eastAsia" w:ascii="Times New Roman Italic" w:hAnsi="Times New Roman Italic" w:cs="Times New Roman"/>
          <w:i/>
          <w:iCs/>
          <w:sz w:val="24"/>
        </w:rPr>
        <w:t>你们要是能看到他的那副</w:t>
      </w:r>
      <w:r>
        <w:rPr>
          <w:rFonts w:hint="eastAsia" w:ascii="Times New Roman Italic" w:hAnsi="Times New Roman Italic" w:cs="Times New Roman"/>
          <w:b/>
          <w:bCs/>
          <w:i/>
          <w:iCs/>
          <w:sz w:val="24"/>
        </w:rPr>
        <w:t>嘴脸</w:t>
      </w:r>
      <w:r>
        <w:rPr>
          <w:rFonts w:hint="eastAsia" w:ascii="Times New Roman Italic" w:hAnsi="Times New Roman Italic" w:cs="Times New Roman"/>
          <w:i/>
          <w:iCs/>
          <w:sz w:val="24"/>
          <w:lang w:val="ru-RU"/>
        </w:rPr>
        <w:t>，</w:t>
      </w:r>
      <w:r>
        <w:rPr>
          <w:rFonts w:hint="eastAsia" w:ascii="Times New Roman Italic" w:hAnsi="Times New Roman Italic" w:cs="Times New Roman"/>
          <w:i/>
          <w:iCs/>
          <w:sz w:val="24"/>
        </w:rPr>
        <w:t>横着要比竖着宽</w:t>
      </w:r>
      <w:r>
        <w:rPr>
          <w:rFonts w:hint="eastAsia" w:ascii="Times New Roman Italic" w:hAnsi="Times New Roman Italic" w:cs="Times New Roman"/>
          <w:i/>
          <w:iCs/>
          <w:sz w:val="24"/>
          <w:lang w:val="ru-RU"/>
        </w:rPr>
        <w:t xml:space="preserve"> </w:t>
      </w:r>
      <w:r>
        <w:rPr>
          <w:rFonts w:ascii="Times New Roman Italic" w:hAnsi="Times New Roman Italic" w:cs="Times New Roman"/>
          <w:i/>
          <w:iCs/>
          <w:sz w:val="24"/>
          <w:lang w:val="ru-RU"/>
        </w:rPr>
        <w:t>(</w:t>
      </w:r>
      <w:r>
        <w:rPr>
          <w:rFonts w:hint="eastAsia" w:ascii="Times New Roman Italic" w:hAnsi="Times New Roman Italic" w:cs="Times New Roman"/>
          <w:i/>
          <w:iCs/>
          <w:sz w:val="24"/>
        </w:rPr>
        <w:t>第一章</w:t>
      </w:r>
      <w:r>
        <w:rPr>
          <w:rFonts w:hint="eastAsia" w:ascii="Times New Roman Italic" w:hAnsi="Times New Roman Italic" w:cs="Times New Roman"/>
          <w:i/>
          <w:iCs/>
          <w:sz w:val="24"/>
          <w:lang w:val="ru-RU"/>
        </w:rPr>
        <w:t>，</w:t>
      </w:r>
      <w:r>
        <w:rPr>
          <w:rFonts w:hint="eastAsia" w:ascii="Times New Roman Italic" w:hAnsi="Times New Roman Italic" w:cs="Times New Roman"/>
          <w:i/>
          <w:iCs/>
          <w:sz w:val="24"/>
        </w:rPr>
        <w:t>p</w:t>
      </w:r>
      <w:r>
        <w:rPr>
          <w:rFonts w:hint="eastAsia" w:ascii="Times New Roman Italic" w:hAnsi="Times New Roman Italic" w:cs="Times New Roman"/>
          <w:i/>
          <w:iCs/>
          <w:sz w:val="24"/>
          <w:lang w:val="ru-RU"/>
        </w:rPr>
        <w:t>129</w:t>
      </w:r>
      <w:r>
        <w:rPr>
          <w:rFonts w:ascii="Times New Roman Italic" w:hAnsi="Times New Roman Italic" w:cs="Times New Roman"/>
          <w:i/>
          <w:iCs/>
          <w:sz w:val="24"/>
          <w:lang w:val="ru-RU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В данном примере в китайском переводе эмоциональная коннотация шире, чем в русском исходном тексте. Рожа</w:t>
      </w:r>
      <w:r>
        <w:rPr>
          <w:rFonts w:hint="default"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lang w:val="ru-RU"/>
        </w:rPr>
        <w:t>- это безобразное лицо. Шарику оно не нравится. Помимо обозначения «внешней некрасивости» данное выражение в китайском языке ( 嘴脸 ) часто употребляется и для выражения внутреннего уродства: человек, который издевается над слабыми, льстит и коррумпирован. Эмоциональная окраска китайского перевода включает презрение, неудовлетворенность, отрицание и отвращение к его ценностям.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При пересечении возникают три области: область пересечения, где эмоциональная окраска эквивалентна, и две области несовпадающих эмоциональных окрас</w:t>
      </w:r>
      <w:bookmarkStart w:id="0" w:name="_GoBack"/>
      <w:bookmarkEnd w:id="0"/>
      <w:r>
        <w:rPr>
          <w:rFonts w:ascii="Times New Roman Regular" w:hAnsi="Times New Roman Regular" w:cs="Times New Roman Regular"/>
          <w:sz w:val="24"/>
          <w:lang w:val="ru-RU"/>
        </w:rPr>
        <w:t>ок.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Theme="majorBidi" w:hAnsiTheme="majorBidi" w:cstheme="majorBidi"/>
          <w:i/>
          <w:iCs/>
          <w:sz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lang w:val="ru-RU"/>
        </w:rPr>
        <w:t>Какая</w:t>
      </w:r>
      <w:r>
        <w:rPr>
          <w:rFonts w:asciiTheme="majorBidi" w:hAnsiTheme="majorBidi" w:cstheme="majorBidi"/>
          <w:b/>
          <w:bCs/>
          <w:i/>
          <w:iCs/>
          <w:sz w:val="24"/>
          <w:lang w:val="ru-RU"/>
        </w:rPr>
        <w:t xml:space="preserve"> гадина</w:t>
      </w:r>
      <w:r>
        <w:rPr>
          <w:rFonts w:asciiTheme="majorBidi" w:hAnsiTheme="majorBidi" w:cstheme="majorBidi"/>
          <w:i/>
          <w:iCs/>
          <w:sz w:val="24"/>
          <w:lang w:val="ru-RU"/>
        </w:rPr>
        <w:t xml:space="preserve">, а ещё пролетарий. </w:t>
      </w:r>
      <w:r>
        <w:rPr>
          <w:rFonts w:asciiTheme="majorBidi" w:hAnsiTheme="majorBidi" w:cstheme="majorBidi"/>
          <w:sz w:val="24"/>
          <w:lang w:val="ru-RU"/>
        </w:rPr>
        <w:t>(</w:t>
      </w:r>
      <w:r>
        <w:rPr>
          <w:rFonts w:asciiTheme="majorBidi" w:hAnsiTheme="majorBidi" w:cstheme="majorBidi"/>
          <w:i/>
          <w:iCs/>
          <w:sz w:val="24"/>
          <w:lang w:val="ru-RU"/>
        </w:rPr>
        <w:t>Глава 1, стр. 5)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Italic" w:hAnsi="Times New Roman Italic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Перевод Цао Говэя:</w:t>
      </w:r>
      <w:r>
        <w:rPr>
          <w:rFonts w:ascii="Times New Roman Italic" w:hAnsi="Times New Roman Italic" w:cs="Times New Roman"/>
          <w:i/>
          <w:iCs/>
          <w:sz w:val="24"/>
          <w:lang w:val="ru-RU"/>
        </w:rPr>
        <w:t xml:space="preserve"> </w:t>
      </w:r>
      <w:r>
        <w:rPr>
          <w:rFonts w:hint="eastAsia" w:ascii="Times New Roman Regular" w:hAnsi="Times New Roman Regular" w:cs="Times New Roman Regular"/>
          <w:i/>
          <w:iCs/>
          <w:sz w:val="24"/>
        </w:rPr>
        <w:t>坏透的</w:t>
      </w:r>
      <w:r>
        <w:rPr>
          <w:rFonts w:hint="eastAsia" w:ascii="Times New Roman Regular" w:hAnsi="Times New Roman Regular" w:cs="Times New Roman Regular"/>
          <w:b/>
          <w:bCs/>
          <w:i/>
          <w:iCs/>
          <w:sz w:val="24"/>
        </w:rPr>
        <w:t>恶棍</w:t>
      </w:r>
      <w:r>
        <w:rPr>
          <w:rFonts w:hint="eastAsia" w:ascii="Times New Roman Regular" w:hAnsi="Times New Roman Regular" w:cs="Times New Roman Regular"/>
          <w:i/>
          <w:iCs/>
          <w:sz w:val="24"/>
        </w:rPr>
        <w:t>，还无产者呢。</w:t>
      </w:r>
      <w:r>
        <w:rPr>
          <w:rFonts w:hint="eastAsia" w:ascii="Times New Roman Italic" w:hAnsi="Times New Roman Italic" w:cs="Times New Roman"/>
          <w:i/>
          <w:iCs/>
          <w:sz w:val="24"/>
        </w:rPr>
        <w:t xml:space="preserve"> </w:t>
      </w:r>
      <w:r>
        <w:rPr>
          <w:rFonts w:ascii="Times New Roman Italic" w:hAnsi="Times New Roman Italic" w:cs="Times New Roman"/>
          <w:i/>
          <w:iCs/>
          <w:sz w:val="24"/>
          <w:lang w:val="ru-RU"/>
        </w:rPr>
        <w:t>(</w:t>
      </w:r>
      <w:r>
        <w:rPr>
          <w:rFonts w:hint="eastAsia" w:ascii="Times New Roman Italic" w:hAnsi="Times New Roman Italic" w:cs="Times New Roman"/>
          <w:i/>
          <w:iCs/>
          <w:sz w:val="24"/>
        </w:rPr>
        <w:t>第一章，p4）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Область пересечения — эмоция выражающая отвращение к пролетариям. Слово «гадина» в русском языке ассоциируется со змеями и другими рептилиями, вызывая у людей отвратительное чувство. Китайское выражение «</w:t>
      </w:r>
      <w:r>
        <w:rPr>
          <w:rFonts w:ascii="Times New Roman Regular" w:hAnsi="Times New Roman Regular" w:cs="Times New Roman Regular"/>
          <w:b/>
          <w:bCs/>
          <w:sz w:val="24"/>
          <w:lang w:val="ru-RU"/>
        </w:rPr>
        <w:t>恶棍</w:t>
      </w:r>
      <w:r>
        <w:rPr>
          <w:rFonts w:ascii="Times New Roman Regular" w:hAnsi="Times New Roman Regular" w:cs="Times New Roman Regular"/>
          <w:sz w:val="24"/>
          <w:lang w:val="ru-RU"/>
        </w:rPr>
        <w:t>» (дословный перевод: злые палки) — хулиганы с палкой, наводящие страх на людей. Эмоциональная окраска этих двух выражений не совпадает.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Согласно критериям оценки качества перевода, данным в трудах Ю. Найды, динамическая эквивалентность «ориентирована на реакцию реципиента» и стремится обеспечить то же воздействие на читателя перевода. Мы считаем, что логический анализ межъязыковой асимметрии при переводе эмоционально окрашенной лексики очень важен для достижения адекватного перевода.</w:t>
      </w:r>
    </w:p>
    <w:p>
      <w:pPr>
        <w:rPr>
          <w:rFonts w:ascii="Times New Roman Regular" w:hAnsi="Times New Roman Regular" w:cs="Times New Roman Regular"/>
          <w:lang w:val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asciiTheme="majorBidi" w:hAnsiTheme="majorBidi" w:cstheme="majorBidi"/>
          <w:b/>
          <w:b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>Литература</w:t>
      </w:r>
    </w:p>
    <w:p>
      <w:pPr>
        <w:widowControl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Гарбовский Н.К. Теория перевода. </w:t>
      </w:r>
      <w:r>
        <w:rPr>
          <w:rFonts w:ascii="Times New Roman" w:hAnsi="Times New Roman"/>
          <w:sz w:val="24"/>
        </w:rPr>
        <w:t>М.,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2004</w:t>
      </w:r>
      <w:r>
        <w:rPr>
          <w:rFonts w:ascii="Times New Roman" w:hAnsi="Times New Roman"/>
          <w:sz w:val="24"/>
          <w:lang w:val="ru-RU"/>
        </w:rPr>
        <w:t>.</w:t>
      </w:r>
    </w:p>
    <w:p>
      <w:pPr>
        <w:widowControl/>
        <w:numPr>
          <w:ilvl w:val="0"/>
          <w:numId w:val="1"/>
        </w:numPr>
        <w:shd w:val="clear" w:color="auto" w:fill="FFFFFF"/>
        <w:rPr>
          <w:rFonts w:asciiTheme="majorBidi" w:hAnsiTheme="majorBidi" w:cstheme="majorBidi"/>
          <w:sz w:val="24"/>
          <w:lang w:val="ru-RU"/>
        </w:rPr>
      </w:pPr>
      <w:r>
        <w:rPr>
          <w:rFonts w:asciiTheme="majorBidi" w:hAnsiTheme="majorBidi" w:cstheme="majorBidi"/>
          <w:sz w:val="24"/>
          <w:lang w:val="ru-RU"/>
        </w:rPr>
        <w:t>Голуб И.Б. Русский язык и культура речи: Учебное пособие. М: Логос, 2003.</w:t>
      </w:r>
    </w:p>
    <w:p>
      <w:pPr>
        <w:widowControl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Есакова М.Н. Русские диминутивы как особые единицы перевода // Вестник Московского университета. Серия 22. Теория перевода. 2020 (3).</w:t>
      </w:r>
    </w:p>
    <w:p>
      <w:pPr>
        <w:widowControl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Су Минцзэ. Модель уровней эквивалентности Комиссарова: в поисках переводимости стилистически сниженной лексики и фразеологии (на материале повести М.А. Булгакова «Собачье сердце» и её перевода на китайский язык) // русский язык и культура в зеркале перевода. XIII Международная научная конференция: материалы конференции. М. 2023. С. 324-333.</w:t>
      </w:r>
    </w:p>
    <w:p>
      <w:pPr>
        <w:rPr>
          <w:rFonts w:ascii="Times New Roman Italic" w:hAnsi="Times New Roman Italic" w:cs="Times New Roman"/>
          <w:i/>
          <w:iCs/>
        </w:rPr>
      </w:pP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Times New Roman Italic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4E3EB"/>
    <w:multiLevelType w:val="singleLevel"/>
    <w:tmpl w:val="B6B4E3E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CD66A1"/>
    <w:rsid w:val="001F5B1D"/>
    <w:rsid w:val="007C5D00"/>
    <w:rsid w:val="008E335A"/>
    <w:rsid w:val="00B534F9"/>
    <w:rsid w:val="00B92E15"/>
    <w:rsid w:val="3918687C"/>
    <w:rsid w:val="3CEF7610"/>
    <w:rsid w:val="3F6E3F81"/>
    <w:rsid w:val="47FBCF5E"/>
    <w:rsid w:val="4F3D8489"/>
    <w:rsid w:val="5FFFF404"/>
    <w:rsid w:val="7DD778D7"/>
    <w:rsid w:val="7FB59ABE"/>
    <w:rsid w:val="B7BE7CE9"/>
    <w:rsid w:val="BF1E96A6"/>
    <w:rsid w:val="D7D5EDA7"/>
    <w:rsid w:val="EEFAE243"/>
    <w:rsid w:val="EFCD66A1"/>
    <w:rsid w:val="EFDF22A2"/>
    <w:rsid w:val="FFFEB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SimSun" w:hAnsi="SimSun" w:eastAsia="SimSun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SimSun" w:hAnsi="SimSun" w:eastAsia="SimSun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character" w:styleId="8">
    <w:name w:val="Strong"/>
    <w:basedOn w:val="5"/>
    <w:qFormat/>
    <w:uiPriority w:val="0"/>
    <w:rPr>
      <w:b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s1"/>
    <w:basedOn w:val="5"/>
    <w:autoRedefine/>
    <w:qFormat/>
    <w:uiPriority w:val="0"/>
  </w:style>
  <w:style w:type="paragraph" w:customStyle="1" w:styleId="11">
    <w:name w:val="p1"/>
    <w:basedOn w:val="1"/>
    <w:qFormat/>
    <w:uiPriority w:val="0"/>
    <w:pPr>
      <w:jc w:val="left"/>
    </w:pPr>
    <w:rPr>
      <w:rFonts w:ascii="times" w:hAnsi="times" w:eastAsia="times" w:cs="Times New Roman"/>
      <w:color w:val="000000"/>
      <w:kern w:val="0"/>
      <w:sz w:val="32"/>
      <w:szCs w:val="32"/>
    </w:rPr>
  </w:style>
  <w:style w:type="character" w:customStyle="1" w:styleId="12">
    <w:name w:val="s2"/>
    <w:basedOn w:val="5"/>
    <w:qFormat/>
    <w:uiPriority w:val="0"/>
  </w:style>
  <w:style w:type="character" w:customStyle="1" w:styleId="13">
    <w:name w:val="Hyperlink.0"/>
    <w:qFormat/>
    <w:uiPriority w:val="0"/>
    <w:rPr>
      <w:rFonts w:ascii="Times New Roman" w:hAnsi="Times New Roman" w:eastAsia="Times New Roman" w:cs="Times New Roman"/>
      <w:i/>
      <w:iCs/>
      <w:color w:val="000000"/>
      <w:sz w:val="24"/>
      <w:szCs w:val="24"/>
      <w:u w:val="none" w:color="000000"/>
      <w:lang w:val="en-US"/>
    </w:rPr>
  </w:style>
  <w:style w:type="character" w:customStyle="1" w:styleId="14">
    <w:name w:val="Ссылка"/>
    <w:qFormat/>
    <w:uiPriority w:val="0"/>
    <w:rPr>
      <w:color w:val="0000FF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4221</Characters>
  <Lines>35</Lines>
  <Paragraphs>9</Paragraphs>
  <TotalTime>4</TotalTime>
  <ScaleCrop>false</ScaleCrop>
  <LinksUpToDate>false</LinksUpToDate>
  <CharactersWithSpaces>4952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2024-03-15T13:59:00Z</dcterms:created>
  <dc:creator>Су Минцзэ</dc:creator>
  <cp:lastModifiedBy>Елена Мешкова</cp:lastModifiedBy>
  <dcterms:modified xsi:type="dcterms:W3CDTF">2024-05-05T16:52:48Z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9B8FC7310D6E4E5ABD5D8933691657BE_13</vt:lpwstr>
  </property>
</Properties>
</file>